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94" w:type="dxa"/>
        <w:tblLook w:val="04A0" w:firstRow="1" w:lastRow="0" w:firstColumn="1" w:lastColumn="0" w:noHBand="0" w:noVBand="1"/>
      </w:tblPr>
      <w:tblGrid>
        <w:gridCol w:w="2386"/>
        <w:gridCol w:w="5269"/>
        <w:gridCol w:w="3402"/>
      </w:tblGrid>
      <w:tr w:rsidR="00D0476E" w:rsidRPr="00F51AA3" w:rsidTr="001965FA">
        <w:trPr>
          <w:trHeight w:val="285"/>
        </w:trPr>
        <w:tc>
          <w:tcPr>
            <w:tcW w:w="11057" w:type="dxa"/>
            <w:gridSpan w:val="3"/>
            <w:tcBorders>
              <w:top w:val="single" w:sz="4" w:space="0" w:color="auto"/>
              <w:left w:val="single" w:sz="8" w:space="0" w:color="auto"/>
              <w:bottom w:val="nil"/>
              <w:right w:val="single" w:sz="8" w:space="0" w:color="auto"/>
            </w:tcBorders>
            <w:shd w:val="clear" w:color="auto" w:fill="auto"/>
            <w:vAlign w:val="bottom"/>
            <w:hideMark/>
          </w:tcPr>
          <w:p w:rsidR="00D0476E" w:rsidRPr="00F51AA3" w:rsidRDefault="00D0476E" w:rsidP="001F7F40">
            <w:pPr>
              <w:spacing w:before="20" w:after="20" w:line="240" w:lineRule="auto"/>
              <w:jc w:val="center"/>
              <w:rPr>
                <w:rFonts w:ascii="Arial" w:eastAsia="Times New Roman" w:hAnsi="Arial" w:cs="Arial"/>
                <w:b/>
                <w:bCs/>
                <w:noProof/>
                <w:color w:val="000000"/>
                <w:sz w:val="32"/>
                <w:szCs w:val="32"/>
                <w:lang w:eastAsia="lv-LV"/>
              </w:rPr>
            </w:pPr>
            <w:r w:rsidRPr="00F51AA3">
              <w:rPr>
                <w:noProof/>
                <w:lang w:eastAsia="lv-LV"/>
              </w:rPr>
              <w:drawing>
                <wp:anchor distT="0" distB="0" distL="114300" distR="114300" simplePos="0" relativeHeight="251659264" behindDoc="0" locked="0" layoutInCell="1" allowOverlap="1">
                  <wp:simplePos x="0" y="0"/>
                  <wp:positionH relativeFrom="column">
                    <wp:posOffset>-10795</wp:posOffset>
                  </wp:positionH>
                  <wp:positionV relativeFrom="paragraph">
                    <wp:posOffset>51435</wp:posOffset>
                  </wp:positionV>
                  <wp:extent cx="923925" cy="2717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271780"/>
                          </a:xfrm>
                          <a:prstGeom prst="rect">
                            <a:avLst/>
                          </a:prstGeom>
                        </pic:spPr>
                      </pic:pic>
                    </a:graphicData>
                  </a:graphic>
                  <wp14:sizeRelH relativeFrom="margin">
                    <wp14:pctWidth>0</wp14:pctWidth>
                  </wp14:sizeRelH>
                  <wp14:sizeRelV relativeFrom="margin">
                    <wp14:pctHeight>0</wp14:pctHeight>
                  </wp14:sizeRelV>
                </wp:anchor>
              </w:drawing>
            </w:r>
            <w:r w:rsidRPr="00D0476E">
              <w:rPr>
                <w:rFonts w:ascii="Arial" w:eastAsia="Times New Roman" w:hAnsi="Arial" w:cs="Arial"/>
                <w:b/>
                <w:bCs/>
                <w:noProof/>
                <w:color w:val="000000"/>
                <w:sz w:val="32"/>
                <w:szCs w:val="32"/>
                <w:lang w:eastAsia="lv-LV"/>
              </w:rPr>
              <w:t> </w:t>
            </w:r>
            <w:r w:rsidR="00FE00C3" w:rsidRPr="00FE00C3">
              <w:rPr>
                <w:rFonts w:ascii="Arial" w:eastAsia="Times New Roman" w:hAnsi="Arial" w:cs="Arial"/>
                <w:b/>
                <w:bCs/>
                <w:noProof/>
                <w:color w:val="000000"/>
                <w:sz w:val="32"/>
                <w:szCs w:val="32"/>
                <w:lang w:eastAsia="lv-LV"/>
              </w:rPr>
              <w:t>Fee Information Document</w:t>
            </w:r>
          </w:p>
          <w:p w:rsidR="00D0476E" w:rsidRPr="00D0476E" w:rsidRDefault="00D0476E" w:rsidP="001F7F40">
            <w:pPr>
              <w:spacing w:before="20" w:after="20" w:line="240" w:lineRule="auto"/>
              <w:jc w:val="center"/>
              <w:rPr>
                <w:rFonts w:ascii="Arial" w:eastAsia="Times New Roman" w:hAnsi="Arial" w:cs="Arial"/>
                <w:b/>
                <w:bCs/>
                <w:noProof/>
                <w:color w:val="000000"/>
                <w:sz w:val="32"/>
                <w:szCs w:val="32"/>
                <w:lang w:eastAsia="lv-LV"/>
              </w:rPr>
            </w:pPr>
            <w:r w:rsidRPr="00D0476E">
              <w:rPr>
                <w:rFonts w:ascii="Arial" w:eastAsia="Times New Roman" w:hAnsi="Arial" w:cs="Arial"/>
                <w:b/>
                <w:bCs/>
                <w:noProof/>
                <w:color w:val="000000"/>
                <w:sz w:val="32"/>
                <w:szCs w:val="32"/>
                <w:lang w:eastAsia="lv-LV"/>
              </w:rPr>
              <w:t> </w:t>
            </w:r>
          </w:p>
        </w:tc>
      </w:tr>
      <w:tr w:rsidR="00D0476E" w:rsidRPr="00FE00C3" w:rsidTr="00D0476E">
        <w:trPr>
          <w:trHeight w:val="30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FE00C3" w:rsidRDefault="001965FA" w:rsidP="001F7F40">
            <w:pPr>
              <w:spacing w:before="20" w:after="20" w:line="240" w:lineRule="auto"/>
              <w:rPr>
                <w:rFonts w:ascii="Arial" w:eastAsia="Times New Roman" w:hAnsi="Arial" w:cs="Arial"/>
                <w:b/>
                <w:bCs/>
                <w:noProof/>
                <w:color w:val="000000"/>
                <w:sz w:val="24"/>
                <w:szCs w:val="24"/>
                <w:lang w:eastAsia="lv-LV"/>
              </w:rPr>
            </w:pPr>
            <w:r>
              <w:rPr>
                <w:noProof/>
                <w:lang w:eastAsia="lv-LV"/>
              </w:rPr>
              <w:drawing>
                <wp:anchor distT="0" distB="0" distL="114300" distR="114300" simplePos="0" relativeHeight="251660288" behindDoc="0" locked="0" layoutInCell="1" allowOverlap="1">
                  <wp:simplePos x="0" y="0"/>
                  <wp:positionH relativeFrom="column">
                    <wp:posOffset>6401435</wp:posOffset>
                  </wp:positionH>
                  <wp:positionV relativeFrom="paragraph">
                    <wp:posOffset>-509270</wp:posOffset>
                  </wp:positionV>
                  <wp:extent cx="565785" cy="561975"/>
                  <wp:effectExtent l="0" t="0" r="571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785" cy="5619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E00C3" w:rsidRPr="006F0FA6">
              <w:rPr>
                <w:rFonts w:ascii="Arial" w:eastAsia="Times New Roman" w:hAnsi="Arial" w:cs="Arial"/>
                <w:b/>
                <w:bCs/>
                <w:color w:val="000000"/>
                <w:sz w:val="24"/>
                <w:szCs w:val="24"/>
                <w:lang w:eastAsia="lv-LV"/>
              </w:rPr>
              <w:t>Account</w:t>
            </w:r>
            <w:proofErr w:type="spellEnd"/>
            <w:r w:rsidR="00FE00C3" w:rsidRPr="006F0FA6">
              <w:rPr>
                <w:rFonts w:ascii="Arial" w:eastAsia="Times New Roman" w:hAnsi="Arial" w:cs="Arial"/>
                <w:b/>
                <w:bCs/>
                <w:color w:val="000000"/>
                <w:sz w:val="24"/>
                <w:szCs w:val="24"/>
                <w:lang w:eastAsia="lv-LV"/>
              </w:rPr>
              <w:t xml:space="preserve"> </w:t>
            </w:r>
            <w:proofErr w:type="spellStart"/>
            <w:r w:rsidR="00FE00C3" w:rsidRPr="006F0FA6">
              <w:rPr>
                <w:rFonts w:ascii="Arial" w:eastAsia="Times New Roman" w:hAnsi="Arial" w:cs="Arial"/>
                <w:b/>
                <w:bCs/>
                <w:color w:val="000000"/>
                <w:sz w:val="24"/>
                <w:szCs w:val="24"/>
                <w:lang w:eastAsia="lv-LV"/>
              </w:rPr>
              <w:t>provider</w:t>
            </w:r>
            <w:proofErr w:type="spellEnd"/>
            <w:r w:rsidR="00FE00C3" w:rsidRPr="006F0FA6">
              <w:rPr>
                <w:rFonts w:ascii="Arial" w:eastAsia="Times New Roman" w:hAnsi="Arial" w:cs="Arial"/>
                <w:b/>
                <w:bCs/>
                <w:color w:val="000000"/>
                <w:sz w:val="24"/>
                <w:szCs w:val="24"/>
                <w:lang w:eastAsia="lv-LV"/>
              </w:rPr>
              <w:t xml:space="preserve"> </w:t>
            </w:r>
            <w:proofErr w:type="spellStart"/>
            <w:r w:rsidR="00FE00C3" w:rsidRPr="006F0FA6">
              <w:rPr>
                <w:rFonts w:ascii="Arial" w:eastAsia="Times New Roman" w:hAnsi="Arial" w:cs="Arial"/>
                <w:b/>
                <w:bCs/>
                <w:color w:val="000000"/>
                <w:sz w:val="24"/>
                <w:szCs w:val="24"/>
                <w:lang w:eastAsia="lv-LV"/>
              </w:rPr>
              <w:t>name</w:t>
            </w:r>
            <w:proofErr w:type="spellEnd"/>
            <w:r w:rsidR="00D0476E" w:rsidRPr="00FE00C3">
              <w:rPr>
                <w:rFonts w:ascii="Arial" w:eastAsia="Times New Roman" w:hAnsi="Arial" w:cs="Arial"/>
                <w:b/>
                <w:bCs/>
                <w:noProof/>
                <w:color w:val="000000"/>
                <w:sz w:val="24"/>
                <w:szCs w:val="24"/>
                <w:lang w:eastAsia="lv-LV"/>
              </w:rPr>
              <w:t xml:space="preserve">: </w:t>
            </w:r>
            <w:r w:rsidR="00D0476E" w:rsidRPr="00FE00C3">
              <w:rPr>
                <w:rFonts w:ascii="Arial" w:eastAsia="Times New Roman" w:hAnsi="Arial" w:cs="Arial"/>
                <w:b/>
                <w:bCs/>
                <w:noProof/>
                <w:color w:val="0070C0"/>
                <w:sz w:val="24"/>
                <w:szCs w:val="24"/>
                <w:lang w:eastAsia="lv-LV"/>
              </w:rPr>
              <w:t>PNB Banka</w:t>
            </w:r>
          </w:p>
        </w:tc>
      </w:tr>
      <w:tr w:rsidR="00D0476E" w:rsidRPr="00FE00C3" w:rsidTr="001F7F40">
        <w:trPr>
          <w:trHeight w:val="6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FE00C3" w:rsidRDefault="00FE00C3" w:rsidP="001F7F40">
            <w:pPr>
              <w:spacing w:before="20" w:after="20" w:line="240" w:lineRule="auto"/>
              <w:rPr>
                <w:rFonts w:ascii="Arial" w:eastAsia="Times New Roman" w:hAnsi="Arial" w:cs="Arial"/>
                <w:b/>
                <w:bCs/>
                <w:noProof/>
                <w:color w:val="000000"/>
                <w:sz w:val="24"/>
                <w:szCs w:val="24"/>
                <w:lang w:eastAsia="lv-LV"/>
              </w:rPr>
            </w:pPr>
            <w:proofErr w:type="spellStart"/>
            <w:r w:rsidRPr="006F0FA6">
              <w:rPr>
                <w:rFonts w:ascii="Arial" w:eastAsia="Times New Roman" w:hAnsi="Arial" w:cs="Arial"/>
                <w:b/>
                <w:bCs/>
                <w:color w:val="000000"/>
                <w:sz w:val="24"/>
                <w:szCs w:val="24"/>
                <w:lang w:eastAsia="lv-LV"/>
              </w:rPr>
              <w:t>Account</w:t>
            </w:r>
            <w:proofErr w:type="spellEnd"/>
            <w:r w:rsidRPr="006F0FA6">
              <w:rPr>
                <w:rFonts w:ascii="Arial" w:eastAsia="Times New Roman" w:hAnsi="Arial" w:cs="Arial"/>
                <w:b/>
                <w:bCs/>
                <w:color w:val="000000"/>
                <w:sz w:val="24"/>
                <w:szCs w:val="24"/>
                <w:lang w:eastAsia="lv-LV"/>
              </w:rPr>
              <w:t xml:space="preserve"> </w:t>
            </w:r>
            <w:proofErr w:type="spellStart"/>
            <w:r w:rsidRPr="006F0FA6">
              <w:rPr>
                <w:rFonts w:ascii="Arial" w:eastAsia="Times New Roman" w:hAnsi="Arial" w:cs="Arial"/>
                <w:b/>
                <w:bCs/>
                <w:color w:val="000000"/>
                <w:sz w:val="24"/>
                <w:szCs w:val="24"/>
                <w:lang w:eastAsia="lv-LV"/>
              </w:rPr>
              <w:t>name</w:t>
            </w:r>
            <w:proofErr w:type="spellEnd"/>
            <w:r w:rsidR="00D0476E" w:rsidRPr="00FE00C3">
              <w:rPr>
                <w:rFonts w:ascii="Arial" w:eastAsia="Times New Roman" w:hAnsi="Arial" w:cs="Arial"/>
                <w:b/>
                <w:bCs/>
                <w:noProof/>
                <w:color w:val="000000"/>
                <w:sz w:val="24"/>
                <w:szCs w:val="24"/>
                <w:lang w:eastAsia="lv-LV"/>
              </w:rPr>
              <w:t xml:space="preserve">: </w:t>
            </w:r>
            <w:r w:rsidR="005A04E7" w:rsidRPr="005A04E7">
              <w:rPr>
                <w:rFonts w:ascii="Arial" w:eastAsia="Times New Roman" w:hAnsi="Arial" w:cs="Arial"/>
                <w:b/>
                <w:bCs/>
                <w:noProof/>
                <w:color w:val="0070C0"/>
                <w:sz w:val="24"/>
                <w:szCs w:val="24"/>
                <w:lang w:eastAsia="lv-LV"/>
              </w:rPr>
              <w:t>Payment card account</w:t>
            </w:r>
          </w:p>
        </w:tc>
      </w:tr>
      <w:tr w:rsidR="00D0476E" w:rsidRPr="00FE00C3" w:rsidTr="001F7F40">
        <w:trPr>
          <w:trHeight w:val="15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FE00C3" w:rsidRDefault="00FE00C3" w:rsidP="008E5316">
            <w:pPr>
              <w:spacing w:before="20" w:after="20" w:line="240" w:lineRule="auto"/>
              <w:rPr>
                <w:rFonts w:ascii="Arial" w:eastAsia="Times New Roman" w:hAnsi="Arial" w:cs="Arial"/>
                <w:b/>
                <w:bCs/>
                <w:noProof/>
                <w:color w:val="000000"/>
                <w:sz w:val="24"/>
                <w:szCs w:val="24"/>
                <w:lang w:eastAsia="lv-LV"/>
              </w:rPr>
            </w:pPr>
            <w:bookmarkStart w:id="0" w:name="_GoBack"/>
            <w:r w:rsidRPr="00FE00C3">
              <w:rPr>
                <w:rFonts w:ascii="Arial" w:eastAsia="Times New Roman" w:hAnsi="Arial" w:cs="Arial"/>
                <w:b/>
                <w:bCs/>
                <w:noProof/>
                <w:color w:val="000000"/>
                <w:sz w:val="24"/>
                <w:szCs w:val="24"/>
                <w:lang w:eastAsia="lv-LV"/>
              </w:rPr>
              <w:t>Date</w:t>
            </w:r>
            <w:r w:rsidR="00D0476E" w:rsidRPr="00FE00C3">
              <w:rPr>
                <w:rFonts w:ascii="Arial" w:eastAsia="Times New Roman" w:hAnsi="Arial" w:cs="Arial"/>
                <w:b/>
                <w:bCs/>
                <w:noProof/>
                <w:color w:val="000000"/>
                <w:sz w:val="24"/>
                <w:szCs w:val="24"/>
                <w:lang w:eastAsia="lv-LV"/>
              </w:rPr>
              <w:t>: 201</w:t>
            </w:r>
            <w:r w:rsidR="008E5316">
              <w:rPr>
                <w:rFonts w:ascii="Arial" w:eastAsia="Times New Roman" w:hAnsi="Arial" w:cs="Arial"/>
                <w:b/>
                <w:bCs/>
                <w:noProof/>
                <w:color w:val="000000"/>
                <w:sz w:val="24"/>
                <w:szCs w:val="24"/>
                <w:lang w:eastAsia="lv-LV"/>
              </w:rPr>
              <w:t>9</w:t>
            </w:r>
            <w:r w:rsidR="00D0476E" w:rsidRPr="00FE00C3">
              <w:rPr>
                <w:rFonts w:ascii="Arial" w:eastAsia="Times New Roman" w:hAnsi="Arial" w:cs="Arial"/>
                <w:b/>
                <w:bCs/>
                <w:noProof/>
                <w:color w:val="000000"/>
                <w:sz w:val="24"/>
                <w:szCs w:val="24"/>
                <w:lang w:eastAsia="lv-LV"/>
              </w:rPr>
              <w:t>.</w:t>
            </w:r>
            <w:r w:rsidR="008E5316">
              <w:rPr>
                <w:rFonts w:ascii="Arial" w:eastAsia="Times New Roman" w:hAnsi="Arial" w:cs="Arial"/>
                <w:b/>
                <w:bCs/>
                <w:noProof/>
                <w:color w:val="000000"/>
                <w:sz w:val="24"/>
                <w:szCs w:val="24"/>
                <w:lang w:eastAsia="lv-LV"/>
              </w:rPr>
              <w:t>05</w:t>
            </w:r>
            <w:r w:rsidR="00D0476E" w:rsidRPr="00FE00C3">
              <w:rPr>
                <w:rFonts w:ascii="Arial" w:eastAsia="Times New Roman" w:hAnsi="Arial" w:cs="Arial"/>
                <w:b/>
                <w:bCs/>
                <w:noProof/>
                <w:color w:val="000000"/>
                <w:sz w:val="24"/>
                <w:szCs w:val="24"/>
                <w:lang w:eastAsia="lv-LV"/>
              </w:rPr>
              <w:t>.</w:t>
            </w:r>
            <w:r w:rsidR="008E5316">
              <w:rPr>
                <w:rFonts w:ascii="Arial" w:eastAsia="Times New Roman" w:hAnsi="Arial" w:cs="Arial"/>
                <w:b/>
                <w:bCs/>
                <w:noProof/>
                <w:color w:val="000000"/>
                <w:sz w:val="24"/>
                <w:szCs w:val="24"/>
                <w:lang w:eastAsia="lv-LV"/>
              </w:rPr>
              <w:t>27</w:t>
            </w:r>
            <w:r w:rsidR="00D0476E" w:rsidRPr="00FE00C3">
              <w:rPr>
                <w:rFonts w:ascii="Arial" w:eastAsia="Times New Roman" w:hAnsi="Arial" w:cs="Arial"/>
                <w:b/>
                <w:bCs/>
                <w:noProof/>
                <w:color w:val="000000"/>
                <w:sz w:val="24"/>
                <w:szCs w:val="24"/>
                <w:lang w:eastAsia="lv-LV"/>
              </w:rPr>
              <w:t>.</w:t>
            </w:r>
            <w:bookmarkEnd w:id="0"/>
          </w:p>
        </w:tc>
      </w:tr>
      <w:tr w:rsidR="00D0476E" w:rsidRPr="00D0476E" w:rsidTr="001F7F40">
        <w:trPr>
          <w:trHeight w:val="186"/>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E00C3" w:rsidRPr="00FE00C3">
              <w:rPr>
                <w:rFonts w:ascii="Arial" w:eastAsia="Times New Roman" w:hAnsi="Arial" w:cs="Arial"/>
                <w:noProof/>
                <w:color w:val="000000"/>
                <w:sz w:val="20"/>
                <w:szCs w:val="20"/>
                <w:lang w:eastAsia="lv-LV"/>
              </w:rPr>
              <w:t>This document provides information on the rates applicable to the main services related with a payment account. It will help you compare these fees with other accounts' fees.</w:t>
            </w:r>
            <w:r w:rsidRPr="00D0476E">
              <w:rPr>
                <w:rFonts w:ascii="Arial" w:eastAsia="Times New Roman" w:hAnsi="Arial" w:cs="Arial"/>
                <w:noProof/>
                <w:color w:val="000000"/>
                <w:sz w:val="20"/>
                <w:szCs w:val="20"/>
                <w:lang w:eastAsia="lv-LV"/>
              </w:rPr>
              <w:t xml:space="preserve"> </w:t>
            </w:r>
          </w:p>
        </w:tc>
      </w:tr>
      <w:tr w:rsidR="00D0476E" w:rsidRPr="00D0476E" w:rsidTr="001F7F40">
        <w:trPr>
          <w:trHeight w:val="122"/>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E00C3" w:rsidRPr="00FE00C3">
              <w:rPr>
                <w:rFonts w:ascii="Arial" w:eastAsia="Times New Roman" w:hAnsi="Arial" w:cs="Arial"/>
                <w:noProof/>
                <w:color w:val="000000"/>
                <w:sz w:val="20"/>
                <w:szCs w:val="20"/>
                <w:lang w:eastAsia="lv-LV"/>
              </w:rPr>
              <w:t>The fees can be also applied to services connected with the account but not listed herein. Full information is here:</w:t>
            </w:r>
            <w:r w:rsidRPr="00D0476E">
              <w:rPr>
                <w:rFonts w:ascii="Arial" w:eastAsia="Times New Roman" w:hAnsi="Arial" w:cs="Arial"/>
                <w:noProof/>
                <w:color w:val="000000"/>
                <w:sz w:val="20"/>
                <w:szCs w:val="20"/>
                <w:lang w:eastAsia="lv-LV"/>
              </w:rPr>
              <w:t xml:space="preserve"> </w:t>
            </w:r>
            <w:r w:rsidRPr="00D0476E">
              <w:rPr>
                <w:rFonts w:ascii="Arial" w:eastAsia="Times New Roman" w:hAnsi="Arial" w:cs="Arial"/>
                <w:noProof/>
                <w:color w:val="0070C0"/>
                <w:sz w:val="20"/>
                <w:szCs w:val="20"/>
                <w:lang w:eastAsia="lv-LV"/>
              </w:rPr>
              <w:t>www.pnbbanka.eu.</w:t>
            </w:r>
          </w:p>
        </w:tc>
      </w:tr>
      <w:tr w:rsidR="00D0476E" w:rsidRPr="00D0476E" w:rsidTr="00D0476E">
        <w:trPr>
          <w:trHeight w:val="28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E00C3" w:rsidRPr="00FE00C3">
              <w:rPr>
                <w:rFonts w:ascii="Arial" w:eastAsia="Times New Roman" w:hAnsi="Arial" w:cs="Arial"/>
                <w:noProof/>
                <w:color w:val="000000"/>
                <w:sz w:val="20"/>
                <w:szCs w:val="20"/>
                <w:lang w:eastAsia="lv-LV"/>
              </w:rPr>
              <w:t>A glossary of the terms used herein is available for free.</w:t>
            </w:r>
          </w:p>
        </w:tc>
      </w:tr>
      <w:tr w:rsidR="0029157F" w:rsidRPr="0029157F" w:rsidTr="001F7F40">
        <w:trPr>
          <w:trHeight w:val="368"/>
        </w:trPr>
        <w:tc>
          <w:tcPr>
            <w:tcW w:w="7655" w:type="dxa"/>
            <w:gridSpan w:val="2"/>
            <w:tcBorders>
              <w:top w:val="single" w:sz="4" w:space="0" w:color="auto"/>
              <w:left w:val="single" w:sz="8" w:space="0" w:color="auto"/>
              <w:bottom w:val="single" w:sz="4" w:space="0" w:color="auto"/>
              <w:right w:val="single" w:sz="4" w:space="0" w:color="000000"/>
            </w:tcBorders>
            <w:shd w:val="clear" w:color="000000" w:fill="59595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8"/>
                <w:szCs w:val="28"/>
                <w:lang w:eastAsia="lv-LV"/>
              </w:rPr>
            </w:pPr>
            <w:r w:rsidRPr="0029157F">
              <w:rPr>
                <w:rFonts w:ascii="Arial" w:eastAsia="Times New Roman" w:hAnsi="Arial" w:cs="Arial"/>
                <w:b/>
                <w:bCs/>
                <w:noProof/>
                <w:color w:val="FFFFFF" w:themeColor="background1"/>
                <w:sz w:val="28"/>
                <w:szCs w:val="28"/>
                <w:lang w:eastAsia="lv-LV"/>
              </w:rPr>
              <w:t xml:space="preserve">Service </w:t>
            </w:r>
            <w:r w:rsidR="00D0476E" w:rsidRPr="0029157F">
              <w:rPr>
                <w:rFonts w:ascii="Arial" w:eastAsia="Times New Roman" w:hAnsi="Arial" w:cs="Arial"/>
                <w:b/>
                <w:bCs/>
                <w:noProof/>
                <w:color w:val="FFFFFF" w:themeColor="background1"/>
                <w:sz w:val="28"/>
                <w:szCs w:val="28"/>
                <w:vertAlign w:val="superscript"/>
                <w:lang w:eastAsia="lv-LV"/>
              </w:rPr>
              <w:t>1</w:t>
            </w:r>
          </w:p>
        </w:tc>
        <w:tc>
          <w:tcPr>
            <w:tcW w:w="3402" w:type="dxa"/>
            <w:tcBorders>
              <w:top w:val="single" w:sz="4" w:space="0" w:color="auto"/>
              <w:left w:val="nil"/>
              <w:bottom w:val="single" w:sz="4" w:space="0" w:color="auto"/>
              <w:right w:val="single" w:sz="8" w:space="0" w:color="auto"/>
            </w:tcBorders>
            <w:shd w:val="clear" w:color="000000" w:fill="595959"/>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8"/>
                <w:szCs w:val="28"/>
                <w:lang w:eastAsia="lv-LV"/>
              </w:rPr>
            </w:pPr>
            <w:r w:rsidRPr="0029157F">
              <w:rPr>
                <w:rFonts w:ascii="Arial" w:eastAsia="Times New Roman" w:hAnsi="Arial" w:cs="Arial"/>
                <w:b/>
                <w:bCs/>
                <w:noProof/>
                <w:color w:val="FFFFFF" w:themeColor="background1"/>
                <w:sz w:val="28"/>
                <w:szCs w:val="28"/>
                <w:lang w:eastAsia="lv-LV"/>
              </w:rPr>
              <w:t>Fee</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lang w:eastAsia="lv-LV"/>
              </w:rPr>
            </w:pPr>
            <w:r w:rsidRPr="0029157F">
              <w:rPr>
                <w:rFonts w:ascii="Arial" w:eastAsia="Times New Roman" w:hAnsi="Arial" w:cs="Arial"/>
                <w:b/>
                <w:bCs/>
                <w:noProof/>
                <w:color w:val="FFFFFF" w:themeColor="background1"/>
                <w:lang w:eastAsia="lv-LV"/>
              </w:rPr>
              <w:t>General account services</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Account maintaining</w:t>
            </w:r>
          </w:p>
        </w:tc>
      </w:tr>
      <w:tr w:rsidR="00FE00C3" w:rsidRPr="00D0476E" w:rsidTr="00252C65">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1)  Opening the account (including the fee for verification of documents)</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CD2529" w:rsidP="00FE00C3">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FE00C3"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2)  Maintaining/servicing the account</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FE00C3" w:rsidP="00AD5305">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Pr="00F51AA3">
              <w:rPr>
                <w:rFonts w:ascii="Arial" w:eastAsia="Times New Roman" w:hAnsi="Arial" w:cs="Arial"/>
                <w:noProof/>
                <w:sz w:val="20"/>
                <w:szCs w:val="20"/>
                <w:lang w:eastAsia="lv-LV"/>
              </w:rPr>
              <w:t>(</w:t>
            </w:r>
            <w:r w:rsidR="00AD5305">
              <w:rPr>
                <w:rFonts w:ascii="Arial" w:eastAsia="Times New Roman" w:hAnsi="Arial" w:cs="Arial"/>
                <w:noProof/>
                <w:sz w:val="20"/>
                <w:szCs w:val="20"/>
                <w:lang w:eastAsia="lv-LV"/>
              </w:rPr>
              <w:t>m</w:t>
            </w:r>
            <w:r w:rsidR="00AD5305" w:rsidRPr="00AD5305">
              <w:rPr>
                <w:rFonts w:ascii="Arial" w:eastAsia="Times New Roman" w:hAnsi="Arial" w:cs="Arial"/>
                <w:noProof/>
                <w:sz w:val="20"/>
                <w:szCs w:val="20"/>
                <w:lang w:eastAsia="lv-LV"/>
              </w:rPr>
              <w:t>onthly</w:t>
            </w:r>
            <w:r w:rsidRPr="00F51AA3">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Pr="00F51AA3">
              <w:rPr>
                <w:rFonts w:ascii="Arial" w:eastAsia="Times New Roman" w:hAnsi="Arial" w:cs="Arial"/>
                <w:b/>
                <w:bCs/>
                <w:noProof/>
                <w:sz w:val="20"/>
                <w:szCs w:val="20"/>
                <w:lang w:eastAsia="lv-LV"/>
              </w:rPr>
              <w:t xml:space="preserve"> (</w:t>
            </w:r>
            <w:r w:rsidR="00AD5305">
              <w:rPr>
                <w:rFonts w:ascii="Arial" w:eastAsia="Times New Roman" w:hAnsi="Arial" w:cs="Arial"/>
                <w:b/>
                <w:bCs/>
                <w:noProof/>
                <w:sz w:val="20"/>
                <w:szCs w:val="20"/>
                <w:lang w:eastAsia="lv-LV"/>
              </w:rPr>
              <w:t>t</w:t>
            </w:r>
            <w:r w:rsidR="00AD5305" w:rsidRPr="00AD5305">
              <w:rPr>
                <w:rFonts w:ascii="Arial" w:eastAsia="Times New Roman" w:hAnsi="Arial" w:cs="Arial"/>
                <w:b/>
                <w:bCs/>
                <w:noProof/>
                <w:sz w:val="20"/>
                <w:szCs w:val="20"/>
                <w:lang w:eastAsia="lv-LV"/>
              </w:rPr>
              <w:t>otal annual fee</w:t>
            </w:r>
            <w:r w:rsidRPr="00F51AA3">
              <w:rPr>
                <w:rFonts w:ascii="Arial" w:eastAsia="Times New Roman" w:hAnsi="Arial" w:cs="Arial"/>
                <w:b/>
                <w:bCs/>
                <w:noProof/>
                <w:sz w:val="20"/>
                <w:szCs w:val="20"/>
                <w:lang w:eastAsia="lv-LV"/>
              </w:rPr>
              <w:t>)</w:t>
            </w:r>
          </w:p>
        </w:tc>
      </w:tr>
      <w:tr w:rsidR="00FE00C3" w:rsidRPr="00D0476E" w:rsidTr="00252C65">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3)  Closing the account</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252C65">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4)  Activating the Internet banking site</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4473AB">
        <w:trPr>
          <w:trHeight w:val="173"/>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5)  Using the Internet banking site</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FE00C3" w:rsidP="00AD5305">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Pr="00F51AA3">
              <w:rPr>
                <w:rFonts w:ascii="Arial" w:eastAsia="Times New Roman" w:hAnsi="Arial" w:cs="Arial"/>
                <w:noProof/>
                <w:sz w:val="20"/>
                <w:szCs w:val="20"/>
                <w:lang w:eastAsia="lv-LV"/>
              </w:rPr>
              <w:t>(</w:t>
            </w:r>
            <w:r w:rsidR="00AD5305">
              <w:rPr>
                <w:rFonts w:ascii="Arial" w:eastAsia="Times New Roman" w:hAnsi="Arial" w:cs="Arial"/>
                <w:noProof/>
                <w:sz w:val="20"/>
                <w:szCs w:val="20"/>
                <w:lang w:eastAsia="lv-LV"/>
              </w:rPr>
              <w:t>m</w:t>
            </w:r>
            <w:r w:rsidR="00AD5305" w:rsidRPr="00AD5305">
              <w:rPr>
                <w:rFonts w:ascii="Arial" w:eastAsia="Times New Roman" w:hAnsi="Arial" w:cs="Arial"/>
                <w:noProof/>
                <w:sz w:val="20"/>
                <w:szCs w:val="20"/>
                <w:lang w:eastAsia="lv-LV"/>
              </w:rPr>
              <w:t>onthly</w:t>
            </w:r>
            <w:r w:rsidRPr="00F51AA3">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Pr="00F51AA3">
              <w:rPr>
                <w:rFonts w:ascii="Arial" w:eastAsia="Times New Roman" w:hAnsi="Arial" w:cs="Arial"/>
                <w:b/>
                <w:bCs/>
                <w:noProof/>
                <w:sz w:val="20"/>
                <w:szCs w:val="20"/>
                <w:lang w:eastAsia="lv-LV"/>
              </w:rPr>
              <w:t xml:space="preserve"> (</w:t>
            </w:r>
            <w:r w:rsidR="00AD5305">
              <w:rPr>
                <w:rFonts w:ascii="Arial" w:eastAsia="Times New Roman" w:hAnsi="Arial" w:cs="Arial"/>
                <w:b/>
                <w:bCs/>
                <w:noProof/>
                <w:sz w:val="20"/>
                <w:szCs w:val="20"/>
                <w:lang w:eastAsia="lv-LV"/>
              </w:rPr>
              <w:t>t</w:t>
            </w:r>
            <w:r w:rsidR="00AD5305" w:rsidRPr="00AD5305">
              <w:rPr>
                <w:rFonts w:ascii="Arial" w:eastAsia="Times New Roman" w:hAnsi="Arial" w:cs="Arial"/>
                <w:b/>
                <w:bCs/>
                <w:noProof/>
                <w:sz w:val="20"/>
                <w:szCs w:val="20"/>
                <w:lang w:eastAsia="lv-LV"/>
              </w:rPr>
              <w:t>otal annual fee</w:t>
            </w:r>
            <w:r w:rsidRPr="00F51AA3">
              <w:rPr>
                <w:rFonts w:ascii="Arial" w:eastAsia="Times New Roman" w:hAnsi="Arial" w:cs="Arial"/>
                <w:b/>
                <w:bCs/>
                <w:noProof/>
                <w:sz w:val="20"/>
                <w:szCs w:val="20"/>
                <w:lang w:eastAsia="lv-LV"/>
              </w:rPr>
              <w:t>)</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lang w:eastAsia="lv-LV"/>
              </w:rPr>
            </w:pPr>
            <w:r w:rsidRPr="0029157F">
              <w:rPr>
                <w:rFonts w:ascii="Arial" w:eastAsia="Times New Roman" w:hAnsi="Arial" w:cs="Arial"/>
                <w:b/>
                <w:bCs/>
                <w:noProof/>
                <w:color w:val="FFFFFF" w:themeColor="background1"/>
                <w:lang w:eastAsia="lv-LV"/>
              </w:rPr>
              <w:t>Payments (except cards)</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Transfer</w:t>
            </w:r>
          </w:p>
        </w:tc>
      </w:tr>
      <w:tr w:rsidR="00FE00C3" w:rsidRPr="00D0476E" w:rsidTr="00184991">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1) Service provided at a branch:</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FE00C3" w:rsidRPr="00D0476E" w:rsidTr="00184991">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a. intra-bank transfer to own account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FE00C3" w:rsidRPr="00D0476E" w:rsidTr="00184991">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b. intra-bank transfer to another person's account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FE00C3" w:rsidRPr="00D0476E" w:rsidTr="00184991">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c. transfer to another bank in Latvia or a member state of the EEA</w:t>
            </w:r>
            <w:r w:rsidRPr="001A4BE9">
              <w:rPr>
                <w:rFonts w:ascii="Arial" w:eastAsia="Times New Roman" w:hAnsi="Arial" w:cs="Arial"/>
                <w:noProof/>
                <w:sz w:val="20"/>
                <w:szCs w:val="20"/>
                <w:vertAlign w:val="superscript"/>
                <w:lang w:eastAsia="lv-LV"/>
              </w:rPr>
              <w:t>2</w:t>
            </w:r>
            <w:r w:rsidRPr="006F0FA6">
              <w:rPr>
                <w:rFonts w:ascii="Arial" w:eastAsia="Times New Roman" w:hAnsi="Arial" w:cs="Arial"/>
                <w:noProof/>
                <w:sz w:val="20"/>
                <w:szCs w:val="20"/>
                <w:lang w:eastAsia="lv-LV"/>
              </w:rPr>
              <w:t xml:space="preserve"> (SEPA payment)</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2.50 EUR</w:t>
            </w:r>
          </w:p>
        </w:tc>
      </w:tr>
      <w:tr w:rsidR="00FE00C3" w:rsidRPr="00D0476E" w:rsidTr="00184991">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2) Service provided on the Internet banking site:</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FE00C3" w:rsidRPr="00D0476E" w:rsidTr="00184991">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a. intra-bank transfer to own account,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184991">
        <w:trPr>
          <w:trHeight w:val="16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b. intra-bank transfer to another person's account,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184991">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c. transfer to another bank in Latvia or a member state of the EEA2 (SEPA payment)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0.36 EUR</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Standing order</w:t>
            </w:r>
          </w:p>
        </w:tc>
      </w:tr>
      <w:tr w:rsidR="00FE00C3" w:rsidRPr="00D0476E" w:rsidTr="0007447C">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1)  Applying for the service:</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FE00C3" w:rsidRPr="00D0476E" w:rsidTr="0007447C">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a.  at a branch,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07447C">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E00C3" w:rsidRPr="006F0FA6" w:rsidRDefault="00FE00C3" w:rsidP="00FE00C3">
            <w:pPr>
              <w:spacing w:before="20" w:after="20" w:line="240" w:lineRule="auto"/>
              <w:rPr>
                <w:rFonts w:ascii="Arial" w:eastAsia="Times New Roman" w:hAnsi="Arial" w:cs="Arial"/>
                <w:noProof/>
                <w:sz w:val="20"/>
                <w:szCs w:val="20"/>
                <w:lang w:eastAsia="lv-LV"/>
              </w:rPr>
            </w:pPr>
            <w:r w:rsidRPr="006F0FA6">
              <w:rPr>
                <w:rFonts w:ascii="Arial" w:eastAsia="Times New Roman" w:hAnsi="Arial" w:cs="Arial"/>
                <w:noProof/>
                <w:sz w:val="20"/>
                <w:szCs w:val="20"/>
                <w:lang w:eastAsia="lv-LV"/>
              </w:rPr>
              <w:t xml:space="preserve">b.  on the Internet banking site; </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FE00C3"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2)  Using the service</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FE00C3" w:rsidP="00AD5305">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0.50 EUR (</w:t>
            </w:r>
            <w:r w:rsidR="00AD5305">
              <w:rPr>
                <w:rFonts w:ascii="Arial" w:eastAsia="Times New Roman" w:hAnsi="Arial" w:cs="Arial"/>
                <w:noProof/>
                <w:sz w:val="20"/>
                <w:szCs w:val="20"/>
                <w:lang w:eastAsia="lv-LV"/>
              </w:rPr>
              <w:t>m</w:t>
            </w:r>
            <w:r w:rsidR="00AD5305" w:rsidRPr="00AD5305">
              <w:rPr>
                <w:rFonts w:ascii="Arial" w:eastAsia="Times New Roman" w:hAnsi="Arial" w:cs="Arial"/>
                <w:noProof/>
                <w:sz w:val="20"/>
                <w:szCs w:val="20"/>
                <w:lang w:eastAsia="lv-LV"/>
              </w:rPr>
              <w:t>onthly</w:t>
            </w:r>
            <w:r w:rsidRPr="00D0476E">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6.00 EUR (</w:t>
            </w:r>
            <w:r w:rsidR="00AD5305">
              <w:rPr>
                <w:rFonts w:ascii="Arial" w:eastAsia="Times New Roman" w:hAnsi="Arial" w:cs="Arial"/>
                <w:b/>
                <w:bCs/>
                <w:noProof/>
                <w:sz w:val="20"/>
                <w:szCs w:val="20"/>
                <w:lang w:eastAsia="lv-LV"/>
              </w:rPr>
              <w:t>t</w:t>
            </w:r>
            <w:r w:rsidR="00AD5305" w:rsidRPr="00AD5305">
              <w:rPr>
                <w:rFonts w:ascii="Arial" w:eastAsia="Times New Roman" w:hAnsi="Arial" w:cs="Arial"/>
                <w:b/>
                <w:bCs/>
                <w:noProof/>
                <w:sz w:val="20"/>
                <w:szCs w:val="20"/>
                <w:lang w:eastAsia="lv-LV"/>
              </w:rPr>
              <w:t>otal annual fee</w:t>
            </w:r>
            <w:r w:rsidRPr="00D0476E">
              <w:rPr>
                <w:rFonts w:ascii="Arial" w:eastAsia="Times New Roman" w:hAnsi="Arial" w:cs="Arial"/>
                <w:b/>
                <w:bCs/>
                <w:noProof/>
                <w:sz w:val="20"/>
                <w:szCs w:val="20"/>
                <w:lang w:eastAsia="lv-LV"/>
              </w:rPr>
              <w:t>)</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29157F" w:rsidRDefault="00FE00C3" w:rsidP="0026277E">
            <w:pPr>
              <w:spacing w:before="20" w:after="20" w:line="240" w:lineRule="auto"/>
              <w:rPr>
                <w:rFonts w:ascii="Arial" w:eastAsia="Times New Roman" w:hAnsi="Arial" w:cs="Arial"/>
                <w:b/>
                <w:bCs/>
                <w:noProof/>
                <w:color w:val="FFFFFF" w:themeColor="background1"/>
                <w:lang w:eastAsia="lv-LV"/>
              </w:rPr>
            </w:pPr>
            <w:r w:rsidRPr="0029157F">
              <w:rPr>
                <w:rFonts w:ascii="Arial" w:eastAsia="Times New Roman" w:hAnsi="Arial" w:cs="Arial"/>
                <w:b/>
                <w:bCs/>
                <w:noProof/>
                <w:color w:val="FFFFFF" w:themeColor="background1"/>
                <w:lang w:eastAsia="lv-LV"/>
              </w:rPr>
              <w:t>Cards and cash</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 xml:space="preserve">Providing a debit card </w:t>
            </w:r>
            <w:r w:rsidR="00D0476E" w:rsidRPr="0029157F">
              <w:rPr>
                <w:rFonts w:ascii="Arial" w:eastAsia="Times New Roman" w:hAnsi="Arial" w:cs="Arial"/>
                <w:b/>
                <w:bCs/>
                <w:noProof/>
                <w:color w:val="FFFFFF" w:themeColor="background1"/>
                <w:sz w:val="20"/>
                <w:szCs w:val="20"/>
                <w:lang w:eastAsia="lv-LV"/>
              </w:rPr>
              <w:t>Debit Mastercard</w:t>
            </w:r>
          </w:p>
        </w:tc>
      </w:tr>
      <w:tr w:rsidR="00FE00C3" w:rsidRPr="00D0476E" w:rsidTr="00BF02BC">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 xml:space="preserve">1)  Making and issuing the card </w:t>
            </w:r>
            <w:r w:rsidRPr="006F0FA6">
              <w:rPr>
                <w:rFonts w:ascii="Arial" w:eastAsia="Times New Roman" w:hAnsi="Arial" w:cs="Arial"/>
                <w:noProof/>
                <w:sz w:val="20"/>
                <w:szCs w:val="20"/>
                <w:lang w:eastAsia="lv-LV"/>
              </w:rPr>
              <w:t>(including the fee for applying for and receiving the card on the cheapest delivery channel (at branch or by past)</w:t>
            </w:r>
          </w:p>
        </w:tc>
        <w:tc>
          <w:tcPr>
            <w:tcW w:w="3402" w:type="dxa"/>
            <w:tcBorders>
              <w:top w:val="nil"/>
              <w:left w:val="nil"/>
              <w:bottom w:val="single" w:sz="4" w:space="0" w:color="auto"/>
              <w:right w:val="single" w:sz="8" w:space="0" w:color="auto"/>
            </w:tcBorders>
            <w:shd w:val="clear" w:color="auto" w:fill="auto"/>
            <w:noWrap/>
            <w:hideMark/>
          </w:tcPr>
          <w:p w:rsidR="00FE00C3" w:rsidRPr="00D0476E" w:rsidRDefault="00FE00C3" w:rsidP="00FE00C3">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FE00C3"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E00C3" w:rsidRPr="006F0FA6" w:rsidRDefault="00FE00C3" w:rsidP="00FE00C3">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2) Using the card</w:t>
            </w:r>
          </w:p>
        </w:tc>
        <w:tc>
          <w:tcPr>
            <w:tcW w:w="3402" w:type="dxa"/>
            <w:tcBorders>
              <w:top w:val="nil"/>
              <w:left w:val="nil"/>
              <w:bottom w:val="single" w:sz="4" w:space="0" w:color="auto"/>
              <w:right w:val="single" w:sz="8" w:space="0" w:color="auto"/>
            </w:tcBorders>
            <w:shd w:val="clear" w:color="auto" w:fill="auto"/>
            <w:hideMark/>
          </w:tcPr>
          <w:p w:rsidR="00FE00C3" w:rsidRPr="00D0476E" w:rsidRDefault="008E5316" w:rsidP="008E5316">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1.00</w:t>
            </w:r>
            <w:r w:rsidR="00FE00C3" w:rsidRPr="00D0476E">
              <w:rPr>
                <w:rFonts w:ascii="Arial" w:eastAsia="Times New Roman" w:hAnsi="Arial" w:cs="Arial"/>
                <w:noProof/>
                <w:sz w:val="20"/>
                <w:szCs w:val="20"/>
                <w:lang w:eastAsia="lv-LV"/>
              </w:rPr>
              <w:t xml:space="preserve"> EUR</w:t>
            </w:r>
            <w:r w:rsidR="00FE00C3" w:rsidRPr="00F51AA3">
              <w:rPr>
                <w:rFonts w:ascii="Arial" w:eastAsia="Times New Roman" w:hAnsi="Arial" w:cs="Arial"/>
                <w:noProof/>
                <w:sz w:val="20"/>
                <w:szCs w:val="20"/>
                <w:lang w:eastAsia="lv-LV"/>
              </w:rPr>
              <w:t xml:space="preserve"> (</w:t>
            </w:r>
            <w:r w:rsidR="00AD5305">
              <w:rPr>
                <w:rFonts w:ascii="Arial" w:eastAsia="Times New Roman" w:hAnsi="Arial" w:cs="Arial"/>
                <w:noProof/>
                <w:sz w:val="20"/>
                <w:szCs w:val="20"/>
                <w:lang w:eastAsia="lv-LV"/>
              </w:rPr>
              <w:t>m</w:t>
            </w:r>
            <w:r w:rsidR="00AD5305" w:rsidRPr="00AD5305">
              <w:rPr>
                <w:rFonts w:ascii="Arial" w:eastAsia="Times New Roman" w:hAnsi="Arial" w:cs="Arial"/>
                <w:noProof/>
                <w:sz w:val="20"/>
                <w:szCs w:val="20"/>
                <w:lang w:eastAsia="lv-LV"/>
              </w:rPr>
              <w:t>onthly</w:t>
            </w:r>
            <w:r w:rsidR="00FE00C3" w:rsidRPr="00F51AA3">
              <w:rPr>
                <w:rFonts w:ascii="Arial" w:eastAsia="Times New Roman" w:hAnsi="Arial" w:cs="Arial"/>
                <w:noProof/>
                <w:sz w:val="20"/>
                <w:szCs w:val="20"/>
                <w:lang w:eastAsia="lv-LV"/>
              </w:rPr>
              <w:t>)</w:t>
            </w:r>
            <w:r w:rsidR="00FE00C3" w:rsidRPr="00D0476E">
              <w:rPr>
                <w:rFonts w:ascii="Arial" w:eastAsia="Times New Roman" w:hAnsi="Arial" w:cs="Arial"/>
                <w:noProof/>
                <w:sz w:val="20"/>
                <w:szCs w:val="20"/>
                <w:lang w:eastAsia="lv-LV"/>
              </w:rPr>
              <w:br/>
            </w:r>
            <w:r>
              <w:rPr>
                <w:rFonts w:ascii="Arial" w:eastAsia="Times New Roman" w:hAnsi="Arial" w:cs="Arial"/>
                <w:b/>
                <w:bCs/>
                <w:noProof/>
                <w:sz w:val="20"/>
                <w:szCs w:val="20"/>
                <w:lang w:eastAsia="lv-LV"/>
              </w:rPr>
              <w:t>12.00</w:t>
            </w:r>
            <w:r w:rsidR="00FE00C3" w:rsidRPr="00D0476E">
              <w:rPr>
                <w:rFonts w:ascii="Arial" w:eastAsia="Times New Roman" w:hAnsi="Arial" w:cs="Arial"/>
                <w:b/>
                <w:bCs/>
                <w:noProof/>
                <w:sz w:val="20"/>
                <w:szCs w:val="20"/>
                <w:lang w:eastAsia="lv-LV"/>
              </w:rPr>
              <w:t xml:space="preserve"> EUR</w:t>
            </w:r>
            <w:r w:rsidR="00FE00C3" w:rsidRPr="00F51AA3">
              <w:rPr>
                <w:rFonts w:ascii="Arial" w:eastAsia="Times New Roman" w:hAnsi="Arial" w:cs="Arial"/>
                <w:b/>
                <w:bCs/>
                <w:noProof/>
                <w:sz w:val="20"/>
                <w:szCs w:val="20"/>
                <w:lang w:eastAsia="lv-LV"/>
              </w:rPr>
              <w:t xml:space="preserve"> (</w:t>
            </w:r>
            <w:r w:rsidR="00AD5305">
              <w:rPr>
                <w:rFonts w:ascii="Arial" w:eastAsia="Times New Roman" w:hAnsi="Arial" w:cs="Arial"/>
                <w:b/>
                <w:bCs/>
                <w:noProof/>
                <w:sz w:val="20"/>
                <w:szCs w:val="20"/>
                <w:lang w:eastAsia="lv-LV"/>
              </w:rPr>
              <w:t>t</w:t>
            </w:r>
            <w:r w:rsidR="00AD5305" w:rsidRPr="00AD5305">
              <w:rPr>
                <w:rFonts w:ascii="Arial" w:eastAsia="Times New Roman" w:hAnsi="Arial" w:cs="Arial"/>
                <w:b/>
                <w:bCs/>
                <w:noProof/>
                <w:sz w:val="20"/>
                <w:szCs w:val="20"/>
                <w:lang w:eastAsia="lv-LV"/>
              </w:rPr>
              <w:t>otal annual fee</w:t>
            </w:r>
            <w:r w:rsidR="00FE00C3" w:rsidRPr="00F51AA3">
              <w:rPr>
                <w:rFonts w:ascii="Arial" w:eastAsia="Times New Roman" w:hAnsi="Arial" w:cs="Arial"/>
                <w:b/>
                <w:bCs/>
                <w:noProof/>
                <w:sz w:val="20"/>
                <w:szCs w:val="20"/>
                <w:lang w:eastAsia="lv-LV"/>
              </w:rPr>
              <w:t>)</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FE00C3"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 xml:space="preserve">Providing a credit card </w:t>
            </w:r>
            <w:r w:rsidR="00D0476E" w:rsidRPr="0029157F">
              <w:rPr>
                <w:rFonts w:ascii="Arial" w:eastAsia="Times New Roman" w:hAnsi="Arial" w:cs="Arial"/>
                <w:b/>
                <w:bCs/>
                <w:noProof/>
                <w:color w:val="FFFFFF" w:themeColor="background1"/>
                <w:sz w:val="20"/>
                <w:szCs w:val="20"/>
                <w:lang w:eastAsia="lv-LV"/>
              </w:rPr>
              <w:t>Standard Mastercard</w:t>
            </w:r>
          </w:p>
        </w:tc>
      </w:tr>
      <w:tr w:rsidR="00845C88" w:rsidRPr="00D0476E" w:rsidTr="006D3D89">
        <w:trPr>
          <w:trHeight w:val="15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45C88" w:rsidRPr="006F0FA6" w:rsidRDefault="00845C88" w:rsidP="00845C88">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 xml:space="preserve">1)  Making and issuing the card </w:t>
            </w:r>
            <w:r w:rsidRPr="006F0FA6">
              <w:rPr>
                <w:rFonts w:ascii="Arial" w:eastAsia="Times New Roman" w:hAnsi="Arial" w:cs="Arial"/>
                <w:noProof/>
                <w:sz w:val="20"/>
                <w:szCs w:val="20"/>
                <w:lang w:eastAsia="lv-LV"/>
              </w:rPr>
              <w:t>(including the fee for applying for and receiving the card on the cheapest delivery channel (at branch or by past)</w:t>
            </w:r>
          </w:p>
        </w:tc>
        <w:tc>
          <w:tcPr>
            <w:tcW w:w="3402" w:type="dxa"/>
            <w:tcBorders>
              <w:top w:val="nil"/>
              <w:left w:val="nil"/>
              <w:bottom w:val="single" w:sz="4" w:space="0" w:color="auto"/>
              <w:right w:val="single" w:sz="8" w:space="0" w:color="auto"/>
            </w:tcBorders>
            <w:shd w:val="clear" w:color="auto" w:fill="auto"/>
            <w:noWrap/>
            <w:hideMark/>
          </w:tcPr>
          <w:p w:rsidR="00845C88" w:rsidRPr="00D0476E" w:rsidRDefault="00845C88"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845C88" w:rsidRPr="00D0476E" w:rsidTr="00F51AA3">
        <w:trPr>
          <w:trHeight w:val="58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845C88" w:rsidRPr="006F0FA6" w:rsidRDefault="00845C88" w:rsidP="00845C88">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2) Using the card</w:t>
            </w:r>
          </w:p>
        </w:tc>
        <w:tc>
          <w:tcPr>
            <w:tcW w:w="3402" w:type="dxa"/>
            <w:tcBorders>
              <w:top w:val="nil"/>
              <w:left w:val="nil"/>
              <w:bottom w:val="single" w:sz="4" w:space="0" w:color="auto"/>
              <w:right w:val="single" w:sz="8" w:space="0" w:color="auto"/>
            </w:tcBorders>
            <w:shd w:val="clear" w:color="auto" w:fill="auto"/>
            <w:hideMark/>
          </w:tcPr>
          <w:p w:rsidR="00845C88" w:rsidRPr="00D0476E" w:rsidRDefault="00845C88" w:rsidP="008E5316">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w:t>
            </w:r>
            <w:r w:rsidR="008E5316">
              <w:rPr>
                <w:rFonts w:ascii="Arial" w:eastAsia="Times New Roman" w:hAnsi="Arial" w:cs="Arial"/>
                <w:noProof/>
                <w:sz w:val="20"/>
                <w:szCs w:val="20"/>
                <w:lang w:eastAsia="lv-LV"/>
              </w:rPr>
              <w:t>20</w:t>
            </w:r>
            <w:r w:rsidRPr="00D0476E">
              <w:rPr>
                <w:rFonts w:ascii="Arial" w:eastAsia="Times New Roman" w:hAnsi="Arial" w:cs="Arial"/>
                <w:noProof/>
                <w:sz w:val="20"/>
                <w:szCs w:val="20"/>
                <w:lang w:eastAsia="lv-LV"/>
              </w:rPr>
              <w:t xml:space="preserve"> EUR</w:t>
            </w:r>
            <w:r w:rsidRPr="00F51AA3">
              <w:rPr>
                <w:rFonts w:ascii="Arial" w:eastAsia="Times New Roman" w:hAnsi="Arial" w:cs="Arial"/>
                <w:noProof/>
                <w:sz w:val="20"/>
                <w:szCs w:val="20"/>
                <w:lang w:eastAsia="lv-LV"/>
              </w:rPr>
              <w:t xml:space="preserve"> (</w:t>
            </w:r>
            <w:r w:rsidR="00AD5305">
              <w:rPr>
                <w:rFonts w:ascii="Arial" w:eastAsia="Times New Roman" w:hAnsi="Arial" w:cs="Arial"/>
                <w:noProof/>
                <w:sz w:val="20"/>
                <w:szCs w:val="20"/>
                <w:lang w:eastAsia="lv-LV"/>
              </w:rPr>
              <w:t>m</w:t>
            </w:r>
            <w:r w:rsidR="00AD5305" w:rsidRPr="00AD5305">
              <w:rPr>
                <w:rFonts w:ascii="Arial" w:eastAsia="Times New Roman" w:hAnsi="Arial" w:cs="Arial"/>
                <w:noProof/>
                <w:sz w:val="20"/>
                <w:szCs w:val="20"/>
                <w:lang w:eastAsia="lv-LV"/>
              </w:rPr>
              <w:t>onthly</w:t>
            </w:r>
            <w:r w:rsidRPr="00F51AA3">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1</w:t>
            </w:r>
            <w:r w:rsidR="008E5316">
              <w:rPr>
                <w:rFonts w:ascii="Arial" w:eastAsia="Times New Roman" w:hAnsi="Arial" w:cs="Arial"/>
                <w:b/>
                <w:bCs/>
                <w:noProof/>
                <w:sz w:val="20"/>
                <w:szCs w:val="20"/>
                <w:lang w:eastAsia="lv-LV"/>
              </w:rPr>
              <w:t>4.40</w:t>
            </w:r>
            <w:r w:rsidRPr="00D0476E">
              <w:rPr>
                <w:rFonts w:ascii="Arial" w:eastAsia="Times New Roman" w:hAnsi="Arial" w:cs="Arial"/>
                <w:b/>
                <w:bCs/>
                <w:noProof/>
                <w:sz w:val="20"/>
                <w:szCs w:val="20"/>
                <w:lang w:eastAsia="lv-LV"/>
              </w:rPr>
              <w:t xml:space="preserve"> EUR</w:t>
            </w:r>
            <w:r w:rsidRPr="00F51AA3">
              <w:rPr>
                <w:rFonts w:ascii="Arial" w:eastAsia="Times New Roman" w:hAnsi="Arial" w:cs="Arial"/>
                <w:b/>
                <w:bCs/>
                <w:noProof/>
                <w:sz w:val="20"/>
                <w:szCs w:val="20"/>
                <w:lang w:eastAsia="lv-LV"/>
              </w:rPr>
              <w:t xml:space="preserve"> (</w:t>
            </w:r>
            <w:r w:rsidR="00AD5305">
              <w:rPr>
                <w:rFonts w:ascii="Arial" w:eastAsia="Times New Roman" w:hAnsi="Arial" w:cs="Arial"/>
                <w:b/>
                <w:bCs/>
                <w:noProof/>
                <w:sz w:val="20"/>
                <w:szCs w:val="20"/>
                <w:lang w:eastAsia="lv-LV"/>
              </w:rPr>
              <w:t>t</w:t>
            </w:r>
            <w:r w:rsidR="00AD5305" w:rsidRPr="00AD5305">
              <w:rPr>
                <w:rFonts w:ascii="Arial" w:eastAsia="Times New Roman" w:hAnsi="Arial" w:cs="Arial"/>
                <w:b/>
                <w:bCs/>
                <w:noProof/>
                <w:sz w:val="20"/>
                <w:szCs w:val="20"/>
                <w:lang w:eastAsia="lv-LV"/>
              </w:rPr>
              <w:t>otal annual fee</w:t>
            </w:r>
            <w:r w:rsidRPr="00F51AA3">
              <w:rPr>
                <w:rFonts w:ascii="Arial" w:eastAsia="Times New Roman" w:hAnsi="Arial" w:cs="Arial"/>
                <w:b/>
                <w:bCs/>
                <w:noProof/>
                <w:sz w:val="20"/>
                <w:szCs w:val="20"/>
                <w:lang w:eastAsia="lv-LV"/>
              </w:rPr>
              <w:t>)</w:t>
            </w:r>
          </w:p>
        </w:tc>
      </w:tr>
      <w:tr w:rsidR="00D0476E" w:rsidRPr="00D0476E" w:rsidTr="00F51AA3">
        <w:trPr>
          <w:trHeight w:val="5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0476E" w:rsidRPr="00D0476E" w:rsidRDefault="00845C88" w:rsidP="001F7F40">
            <w:pPr>
              <w:spacing w:before="20" w:after="20" w:line="240" w:lineRule="auto"/>
              <w:rPr>
                <w:rFonts w:ascii="Arial" w:eastAsia="Times New Roman" w:hAnsi="Arial" w:cs="Arial"/>
                <w:b/>
                <w:noProof/>
                <w:sz w:val="20"/>
                <w:szCs w:val="20"/>
                <w:lang w:eastAsia="lv-LV"/>
              </w:rPr>
            </w:pPr>
            <w:r w:rsidRPr="00845C88">
              <w:rPr>
                <w:rFonts w:ascii="Arial" w:eastAsia="Times New Roman" w:hAnsi="Arial" w:cs="Arial"/>
                <w:b/>
                <w:noProof/>
                <w:sz w:val="20"/>
                <w:szCs w:val="20"/>
                <w:lang w:eastAsia="lv-LV"/>
              </w:rPr>
              <w:t>3) Interest rate per annum on the amount used</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22% </w:t>
            </w:r>
            <w:r w:rsidR="00AD5305" w:rsidRPr="00AD5305">
              <w:rPr>
                <w:rFonts w:ascii="Arial" w:eastAsia="Times New Roman" w:hAnsi="Arial" w:cs="Arial"/>
                <w:noProof/>
                <w:color w:val="000000"/>
                <w:sz w:val="20"/>
                <w:szCs w:val="20"/>
                <w:lang w:eastAsia="lv-LV"/>
              </w:rPr>
              <w:t>per year</w:t>
            </w:r>
          </w:p>
        </w:tc>
      </w:tr>
      <w:tr w:rsidR="0029157F" w:rsidRPr="0029157F" w:rsidTr="00F51AA3">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845C88"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Cash withdrawal</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845C88" w:rsidP="001F7F40">
            <w:pPr>
              <w:spacing w:before="20" w:after="20" w:line="240" w:lineRule="auto"/>
              <w:rPr>
                <w:rFonts w:ascii="Arial" w:eastAsia="Times New Roman" w:hAnsi="Arial" w:cs="Arial"/>
                <w:b/>
                <w:noProof/>
                <w:sz w:val="20"/>
                <w:szCs w:val="20"/>
                <w:lang w:eastAsia="lv-LV"/>
              </w:rPr>
            </w:pPr>
            <w:r w:rsidRPr="00845C88">
              <w:rPr>
                <w:rFonts w:ascii="Arial" w:eastAsia="Times New Roman" w:hAnsi="Arial" w:cs="Arial"/>
                <w:b/>
                <w:noProof/>
                <w:sz w:val="20"/>
                <w:szCs w:val="20"/>
                <w:lang w:eastAsia="lv-LV"/>
              </w:rPr>
              <w:t>1)  At a bank’s branch:</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292DFD" w:rsidRDefault="00D0476E" w:rsidP="001F7F40">
            <w:pPr>
              <w:spacing w:before="20" w:after="20" w:line="240" w:lineRule="auto"/>
              <w:rPr>
                <w:rFonts w:ascii="Arial" w:eastAsia="Times New Roman" w:hAnsi="Arial" w:cs="Arial"/>
                <w:noProof/>
                <w:sz w:val="20"/>
                <w:szCs w:val="20"/>
                <w:lang w:eastAsia="lv-LV"/>
              </w:rPr>
            </w:pPr>
            <w:r w:rsidRPr="00292DFD">
              <w:rPr>
                <w:rFonts w:ascii="Arial" w:eastAsia="Times New Roman" w:hAnsi="Arial" w:cs="Arial"/>
                <w:noProof/>
                <w:sz w:val="20"/>
                <w:szCs w:val="20"/>
                <w:lang w:eastAsia="lv-LV"/>
              </w:rPr>
              <w:t xml:space="preserve">a. </w:t>
            </w:r>
            <w:r w:rsidR="001965FA" w:rsidRPr="001965FA">
              <w:rPr>
                <w:rFonts w:ascii="Arial" w:eastAsia="Times New Roman" w:hAnsi="Arial" w:cs="Arial"/>
                <w:noProof/>
                <w:sz w:val="20"/>
                <w:szCs w:val="20"/>
                <w:lang w:eastAsia="lv-LV"/>
              </w:rPr>
              <w:t>up to</w:t>
            </w:r>
            <w:r w:rsidR="001965FA">
              <w:rPr>
                <w:rFonts w:ascii="Arial" w:eastAsia="Times New Roman" w:hAnsi="Arial" w:cs="Arial"/>
                <w:noProof/>
                <w:sz w:val="20"/>
                <w:szCs w:val="20"/>
                <w:lang w:eastAsia="lv-LV"/>
              </w:rPr>
              <w:t xml:space="preserve"> </w:t>
            </w:r>
            <w:r w:rsidRPr="00292DFD">
              <w:rPr>
                <w:rFonts w:ascii="Arial" w:eastAsia="Times New Roman" w:hAnsi="Arial" w:cs="Arial"/>
                <w:noProof/>
                <w:sz w:val="20"/>
                <w:szCs w:val="20"/>
                <w:lang w:eastAsia="lv-LV"/>
              </w:rPr>
              <w:t>5000,00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B462A8" w:rsidP="008E5316">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 xml:space="preserve">0.2% of the amount, min. </w:t>
            </w:r>
            <w:r w:rsidR="008E5316">
              <w:rPr>
                <w:rFonts w:ascii="Arial" w:eastAsia="Times New Roman" w:hAnsi="Arial" w:cs="Arial"/>
                <w:noProof/>
                <w:sz w:val="20"/>
                <w:szCs w:val="20"/>
                <w:lang w:eastAsia="lv-LV"/>
              </w:rPr>
              <w:t>3.00</w:t>
            </w:r>
            <w:r w:rsidRPr="00B462A8">
              <w:rPr>
                <w:rFonts w:ascii="Arial" w:eastAsia="Times New Roman" w:hAnsi="Arial" w:cs="Arial"/>
                <w:noProof/>
                <w:sz w:val="20"/>
                <w:szCs w:val="20"/>
                <w:lang w:eastAsia="lv-LV"/>
              </w:rPr>
              <w:t xml:space="preserve">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292DFD" w:rsidRDefault="00D0476E" w:rsidP="00B462A8">
            <w:pPr>
              <w:spacing w:before="20" w:after="20" w:line="240" w:lineRule="auto"/>
              <w:rPr>
                <w:rFonts w:ascii="Arial" w:eastAsia="Times New Roman" w:hAnsi="Arial" w:cs="Arial"/>
                <w:noProof/>
                <w:sz w:val="20"/>
                <w:szCs w:val="20"/>
                <w:lang w:eastAsia="lv-LV"/>
              </w:rPr>
            </w:pPr>
            <w:r w:rsidRPr="00292DFD">
              <w:rPr>
                <w:rFonts w:ascii="Arial" w:eastAsia="Times New Roman" w:hAnsi="Arial" w:cs="Arial"/>
                <w:noProof/>
                <w:sz w:val="20"/>
                <w:szCs w:val="20"/>
                <w:lang w:eastAsia="lv-LV"/>
              </w:rPr>
              <w:lastRenderedPageBreak/>
              <w:t xml:space="preserve">b. </w:t>
            </w:r>
            <w:r w:rsidR="00B462A8">
              <w:rPr>
                <w:rFonts w:ascii="Arial" w:eastAsia="Times New Roman" w:hAnsi="Arial" w:cs="Arial"/>
                <w:noProof/>
                <w:sz w:val="20"/>
                <w:szCs w:val="20"/>
                <w:lang w:eastAsia="lv-LV"/>
              </w:rPr>
              <w:t>from</w:t>
            </w:r>
            <w:r w:rsidRPr="00292DFD">
              <w:rPr>
                <w:rFonts w:ascii="Arial" w:eastAsia="Times New Roman" w:hAnsi="Arial" w:cs="Arial"/>
                <w:noProof/>
                <w:sz w:val="20"/>
                <w:szCs w:val="20"/>
                <w:lang w:eastAsia="lv-LV"/>
              </w:rPr>
              <w:t xml:space="preserve"> 5000.01 EUR </w:t>
            </w:r>
            <w:r w:rsidR="00292DFD" w:rsidRPr="00292DFD">
              <w:rPr>
                <w:rFonts w:ascii="Arial" w:eastAsia="Times New Roman" w:hAnsi="Arial" w:cs="Arial"/>
                <w:noProof/>
                <w:sz w:val="20"/>
                <w:szCs w:val="20"/>
                <w:lang w:eastAsia="lv-LV"/>
              </w:rPr>
              <w:t>to</w:t>
            </w:r>
            <w:r w:rsidRPr="00292DFD">
              <w:rPr>
                <w:rFonts w:ascii="Arial" w:eastAsia="Times New Roman" w:hAnsi="Arial" w:cs="Arial"/>
                <w:noProof/>
                <w:sz w:val="20"/>
                <w:szCs w:val="20"/>
                <w:lang w:eastAsia="lv-LV"/>
              </w:rPr>
              <w:t xml:space="preserve"> 10000.00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B462A8" w:rsidP="001F7F40">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0.4% of the amount if the amount has been applied for in advance or 0.5% of the amount – if not</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292DFD" w:rsidRDefault="00D0476E" w:rsidP="00B462A8">
            <w:pPr>
              <w:spacing w:before="20" w:after="20" w:line="240" w:lineRule="auto"/>
              <w:rPr>
                <w:rFonts w:ascii="Arial" w:eastAsia="Times New Roman" w:hAnsi="Arial" w:cs="Arial"/>
                <w:noProof/>
                <w:sz w:val="20"/>
                <w:szCs w:val="20"/>
                <w:lang w:eastAsia="lv-LV"/>
              </w:rPr>
            </w:pPr>
            <w:r w:rsidRPr="00292DFD">
              <w:rPr>
                <w:rFonts w:ascii="Arial" w:eastAsia="Times New Roman" w:hAnsi="Arial" w:cs="Arial"/>
                <w:noProof/>
                <w:sz w:val="20"/>
                <w:szCs w:val="20"/>
                <w:lang w:eastAsia="lv-LV"/>
              </w:rPr>
              <w:t xml:space="preserve">c. </w:t>
            </w:r>
            <w:r w:rsidR="00B462A8">
              <w:rPr>
                <w:rFonts w:ascii="Arial" w:eastAsia="Times New Roman" w:hAnsi="Arial" w:cs="Arial"/>
                <w:noProof/>
                <w:sz w:val="20"/>
                <w:szCs w:val="20"/>
                <w:lang w:eastAsia="lv-LV"/>
              </w:rPr>
              <w:t>above</w:t>
            </w:r>
            <w:r w:rsidRPr="00292DFD">
              <w:rPr>
                <w:rFonts w:ascii="Arial" w:eastAsia="Times New Roman" w:hAnsi="Arial" w:cs="Arial"/>
                <w:noProof/>
                <w:sz w:val="20"/>
                <w:szCs w:val="20"/>
                <w:lang w:eastAsia="lv-LV"/>
              </w:rPr>
              <w:t xml:space="preserve"> 10000.01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B462A8" w:rsidP="001F7F40">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0.6% of the amount if the amount has been applied for in advance or 1% of the amount – if not</w:t>
            </w:r>
          </w:p>
        </w:tc>
      </w:tr>
      <w:tr w:rsidR="00D0476E" w:rsidRPr="00D0476E" w:rsidTr="004473AB">
        <w:trPr>
          <w:trHeight w:val="77"/>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845C88" w:rsidP="00845C88">
            <w:pPr>
              <w:spacing w:before="20" w:after="20" w:line="240" w:lineRule="auto"/>
              <w:rPr>
                <w:rFonts w:ascii="Arial" w:eastAsia="Times New Roman" w:hAnsi="Arial" w:cs="Arial"/>
                <w:b/>
                <w:noProof/>
                <w:sz w:val="20"/>
                <w:szCs w:val="20"/>
                <w:lang w:eastAsia="lv-LV"/>
              </w:rPr>
            </w:pPr>
            <w:r w:rsidRPr="00845C88">
              <w:rPr>
                <w:rFonts w:ascii="Arial" w:eastAsia="Times New Roman" w:hAnsi="Arial" w:cs="Arial"/>
                <w:b/>
                <w:noProof/>
                <w:sz w:val="20"/>
                <w:szCs w:val="20"/>
                <w:lang w:eastAsia="lv-LV"/>
              </w:rPr>
              <w:t xml:space="preserve">2)  At an ATM with a debit card: </w:t>
            </w:r>
            <w:r w:rsidR="00D0476E" w:rsidRPr="00D0476E">
              <w:rPr>
                <w:rFonts w:ascii="Arial" w:eastAsia="Times New Roman" w:hAnsi="Arial" w:cs="Arial"/>
                <w:b/>
                <w:noProof/>
                <w:sz w:val="20"/>
                <w:szCs w:val="20"/>
                <w:lang w:eastAsia="lv-LV"/>
              </w:rPr>
              <w:t xml:space="preserve">Debit Mastercard: </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364"/>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w:t>
            </w:r>
            <w:r w:rsidR="00845C88">
              <w:rPr>
                <w:rFonts w:ascii="Arial" w:eastAsia="Times New Roman" w:hAnsi="Arial" w:cs="Arial"/>
                <w:noProof/>
                <w:sz w:val="20"/>
                <w:szCs w:val="20"/>
                <w:lang w:eastAsia="lv-LV"/>
              </w:rPr>
              <w:t>ATMs of the bank</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8E5316" w:rsidP="00B462A8">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D0476E" w:rsidRPr="00D0476E" w:rsidTr="001F7F40">
        <w:trPr>
          <w:trHeight w:val="114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b. </w:t>
            </w:r>
            <w:r w:rsidR="00845C88">
              <w:rPr>
                <w:rFonts w:ascii="Arial" w:eastAsia="Times New Roman" w:hAnsi="Arial" w:cs="Arial"/>
                <w:noProof/>
                <w:sz w:val="20"/>
                <w:szCs w:val="20"/>
                <w:lang w:eastAsia="lv-LV"/>
              </w:rPr>
              <w:t>ATMs of other banks</w:t>
            </w:r>
          </w:p>
        </w:tc>
        <w:tc>
          <w:tcPr>
            <w:tcW w:w="3402" w:type="dxa"/>
            <w:tcBorders>
              <w:top w:val="nil"/>
              <w:left w:val="nil"/>
              <w:bottom w:val="single" w:sz="4" w:space="0" w:color="auto"/>
              <w:right w:val="single" w:sz="8" w:space="0" w:color="auto"/>
            </w:tcBorders>
            <w:shd w:val="clear" w:color="auto" w:fill="auto"/>
            <w:hideMark/>
          </w:tcPr>
          <w:p w:rsidR="00B462A8" w:rsidRPr="00B462A8" w:rsidRDefault="00B462A8" w:rsidP="00B462A8">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up to 700 EUR one transaction per month – free of charge</w:t>
            </w:r>
          </w:p>
          <w:p w:rsidR="00B462A8" w:rsidRPr="00B462A8" w:rsidRDefault="00B462A8" w:rsidP="00B462A8">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above 700 EUR – 1%, min. 1.50 EUR, of the amount that exceeds 700 EUR</w:t>
            </w:r>
          </w:p>
          <w:p w:rsidR="00D0476E" w:rsidRPr="00D0476E" w:rsidRDefault="00B462A8" w:rsidP="00B462A8">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a commission in the amount of 1% of the amount is applied to all the rest transactions carried out during the month, min. 1.50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845C88">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3</w:t>
            </w:r>
            <w:r w:rsidR="00845C88" w:rsidRPr="00845C88">
              <w:rPr>
                <w:rFonts w:ascii="Arial" w:eastAsia="Times New Roman" w:hAnsi="Arial" w:cs="Arial"/>
                <w:b/>
                <w:noProof/>
                <w:sz w:val="20"/>
                <w:szCs w:val="20"/>
                <w:lang w:eastAsia="lv-LV"/>
              </w:rPr>
              <w:t xml:space="preserve">) At an ATM with a credit card: </w:t>
            </w:r>
            <w:r w:rsidRPr="00D0476E">
              <w:rPr>
                <w:rFonts w:ascii="Arial" w:eastAsia="Times New Roman" w:hAnsi="Arial" w:cs="Arial"/>
                <w:b/>
                <w:noProof/>
                <w:sz w:val="20"/>
                <w:szCs w:val="20"/>
                <w:lang w:eastAsia="lv-LV"/>
              </w:rPr>
              <w:t xml:space="preserve"> Standard Mastercard:</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845C88"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845C88" w:rsidRPr="00D0476E" w:rsidRDefault="00845C88"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w:t>
            </w:r>
            <w:r>
              <w:rPr>
                <w:rFonts w:ascii="Arial" w:eastAsia="Times New Roman" w:hAnsi="Arial" w:cs="Arial"/>
                <w:noProof/>
                <w:sz w:val="20"/>
                <w:szCs w:val="20"/>
                <w:lang w:eastAsia="lv-LV"/>
              </w:rPr>
              <w:t>ATMs of the bank</w:t>
            </w:r>
          </w:p>
        </w:tc>
        <w:tc>
          <w:tcPr>
            <w:tcW w:w="3402" w:type="dxa"/>
            <w:tcBorders>
              <w:top w:val="nil"/>
              <w:left w:val="nil"/>
              <w:bottom w:val="single" w:sz="4" w:space="0" w:color="auto"/>
              <w:right w:val="single" w:sz="8" w:space="0" w:color="auto"/>
            </w:tcBorders>
            <w:shd w:val="clear" w:color="auto" w:fill="auto"/>
            <w:noWrap/>
            <w:hideMark/>
          </w:tcPr>
          <w:p w:rsidR="00845C88" w:rsidRPr="00D0476E" w:rsidRDefault="008E5316" w:rsidP="00845C88">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845C88"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845C88" w:rsidRPr="00D0476E" w:rsidRDefault="00845C88"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b. </w:t>
            </w:r>
            <w:r>
              <w:rPr>
                <w:rFonts w:ascii="Arial" w:eastAsia="Times New Roman" w:hAnsi="Arial" w:cs="Arial"/>
                <w:noProof/>
                <w:sz w:val="20"/>
                <w:szCs w:val="20"/>
                <w:lang w:eastAsia="lv-LV"/>
              </w:rPr>
              <w:t>ATMs of other banks</w:t>
            </w:r>
          </w:p>
        </w:tc>
        <w:tc>
          <w:tcPr>
            <w:tcW w:w="3402" w:type="dxa"/>
            <w:tcBorders>
              <w:top w:val="nil"/>
              <w:left w:val="nil"/>
              <w:bottom w:val="single" w:sz="4" w:space="0" w:color="auto"/>
              <w:right w:val="single" w:sz="8" w:space="0" w:color="auto"/>
            </w:tcBorders>
            <w:shd w:val="clear" w:color="auto" w:fill="auto"/>
            <w:noWrap/>
            <w:hideMark/>
          </w:tcPr>
          <w:p w:rsidR="00845C88" w:rsidRPr="00D0476E" w:rsidRDefault="00B462A8" w:rsidP="00845C88">
            <w:pPr>
              <w:spacing w:before="20" w:after="20" w:line="240" w:lineRule="auto"/>
              <w:rPr>
                <w:rFonts w:ascii="Arial" w:eastAsia="Times New Roman" w:hAnsi="Arial" w:cs="Arial"/>
                <w:noProof/>
                <w:sz w:val="20"/>
                <w:szCs w:val="20"/>
                <w:lang w:eastAsia="lv-LV"/>
              </w:rPr>
            </w:pPr>
            <w:r w:rsidRPr="00B462A8">
              <w:rPr>
                <w:rFonts w:ascii="Arial" w:eastAsia="Times New Roman" w:hAnsi="Arial" w:cs="Arial"/>
                <w:noProof/>
                <w:sz w:val="20"/>
                <w:szCs w:val="20"/>
                <w:lang w:eastAsia="lv-LV"/>
              </w:rPr>
              <w:t>2%, min 3 EUR</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29157F" w:rsidRDefault="00845C88" w:rsidP="001F7F40">
            <w:pPr>
              <w:spacing w:before="20" w:after="20" w:line="240" w:lineRule="auto"/>
              <w:rPr>
                <w:rFonts w:ascii="Arial" w:eastAsia="Times New Roman" w:hAnsi="Arial" w:cs="Arial"/>
                <w:b/>
                <w:bCs/>
                <w:noProof/>
                <w:color w:val="FFFFFF" w:themeColor="background1"/>
                <w:lang w:eastAsia="lv-LV"/>
              </w:rPr>
            </w:pPr>
            <w:r w:rsidRPr="0029157F">
              <w:rPr>
                <w:rFonts w:ascii="Arial" w:eastAsia="Times New Roman" w:hAnsi="Arial" w:cs="Arial"/>
                <w:b/>
                <w:bCs/>
                <w:noProof/>
                <w:color w:val="FFFFFF" w:themeColor="background1"/>
                <w:lang w:eastAsia="lv-LV"/>
              </w:rPr>
              <w:t>Account overdraft and related services</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29157F" w:rsidRDefault="00845C88" w:rsidP="001F7F40">
            <w:pPr>
              <w:spacing w:before="20" w:after="20" w:line="240" w:lineRule="auto"/>
              <w:rPr>
                <w:rFonts w:ascii="Arial" w:eastAsia="Times New Roman" w:hAnsi="Arial" w:cs="Arial"/>
                <w:b/>
                <w:bCs/>
                <w:noProof/>
                <w:color w:val="FFFFFF" w:themeColor="background1"/>
                <w:sz w:val="20"/>
                <w:szCs w:val="20"/>
                <w:lang w:eastAsia="lv-LV"/>
              </w:rPr>
            </w:pPr>
            <w:r w:rsidRPr="0029157F">
              <w:rPr>
                <w:rFonts w:ascii="Arial" w:eastAsia="Times New Roman" w:hAnsi="Arial" w:cs="Arial"/>
                <w:b/>
                <w:bCs/>
                <w:noProof/>
                <w:color w:val="FFFFFF" w:themeColor="background1"/>
                <w:sz w:val="20"/>
                <w:szCs w:val="20"/>
                <w:lang w:eastAsia="lv-LV"/>
              </w:rPr>
              <w:t>Overdraft</w:t>
            </w:r>
          </w:p>
        </w:tc>
      </w:tr>
      <w:tr w:rsidR="00845C88" w:rsidRPr="00D0476E" w:rsidTr="00201A13">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5C88" w:rsidRPr="006F0FA6" w:rsidRDefault="00845C88" w:rsidP="00845C88">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1) Handling and issuing the loan</w:t>
            </w:r>
          </w:p>
        </w:tc>
        <w:tc>
          <w:tcPr>
            <w:tcW w:w="3402" w:type="dxa"/>
            <w:tcBorders>
              <w:top w:val="nil"/>
              <w:left w:val="nil"/>
              <w:bottom w:val="single" w:sz="4" w:space="0" w:color="auto"/>
              <w:right w:val="single" w:sz="8" w:space="0" w:color="auto"/>
            </w:tcBorders>
            <w:shd w:val="clear" w:color="auto" w:fill="auto"/>
            <w:noWrap/>
            <w:hideMark/>
          </w:tcPr>
          <w:p w:rsidR="00845C88" w:rsidRPr="00D0476E" w:rsidRDefault="00845C88" w:rsidP="00845C88">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845C88" w:rsidRPr="00D0476E" w:rsidTr="00201A13">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5C88" w:rsidRPr="006F0FA6" w:rsidRDefault="00845C88" w:rsidP="00845C88">
            <w:pPr>
              <w:spacing w:before="20" w:after="20" w:line="240" w:lineRule="auto"/>
              <w:rPr>
                <w:rFonts w:ascii="Arial" w:eastAsia="Times New Roman" w:hAnsi="Arial" w:cs="Arial"/>
                <w:b/>
                <w:noProof/>
                <w:sz w:val="20"/>
                <w:szCs w:val="20"/>
                <w:lang w:eastAsia="lv-LV"/>
              </w:rPr>
            </w:pPr>
            <w:r w:rsidRPr="006F0FA6">
              <w:rPr>
                <w:rFonts w:ascii="Arial" w:eastAsia="Times New Roman" w:hAnsi="Arial" w:cs="Arial"/>
                <w:b/>
                <w:noProof/>
                <w:sz w:val="20"/>
                <w:szCs w:val="20"/>
                <w:lang w:eastAsia="lv-LV"/>
              </w:rPr>
              <w:t>2) Interest rate per annum on the amount used</w:t>
            </w:r>
          </w:p>
        </w:tc>
        <w:tc>
          <w:tcPr>
            <w:tcW w:w="3402" w:type="dxa"/>
            <w:tcBorders>
              <w:top w:val="nil"/>
              <w:left w:val="nil"/>
              <w:bottom w:val="single" w:sz="4" w:space="0" w:color="auto"/>
              <w:right w:val="single" w:sz="4" w:space="0" w:color="auto"/>
            </w:tcBorders>
            <w:shd w:val="clear" w:color="auto" w:fill="auto"/>
            <w:noWrap/>
            <w:hideMark/>
          </w:tcPr>
          <w:p w:rsidR="00845C88" w:rsidRPr="00D0476E" w:rsidRDefault="00845C88" w:rsidP="00845C88">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26% </w:t>
            </w:r>
            <w:r w:rsidR="00AD5305" w:rsidRPr="00AD5305">
              <w:rPr>
                <w:rFonts w:ascii="Arial" w:eastAsia="Times New Roman" w:hAnsi="Arial" w:cs="Arial"/>
                <w:noProof/>
                <w:color w:val="000000"/>
                <w:sz w:val="20"/>
                <w:szCs w:val="20"/>
                <w:lang w:eastAsia="lv-LV"/>
              </w:rPr>
              <w:t>per year</w:t>
            </w:r>
          </w:p>
        </w:tc>
      </w:tr>
      <w:tr w:rsidR="0029157F" w:rsidRPr="0029157F"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29157F" w:rsidRDefault="00845C88" w:rsidP="001F7F40">
            <w:pPr>
              <w:spacing w:before="20" w:after="20" w:line="240" w:lineRule="auto"/>
              <w:rPr>
                <w:rFonts w:ascii="Arial" w:eastAsia="Times New Roman" w:hAnsi="Arial" w:cs="Arial"/>
                <w:b/>
                <w:bCs/>
                <w:noProof/>
                <w:color w:val="FFFFFF" w:themeColor="background1"/>
                <w:lang w:eastAsia="lv-LV"/>
              </w:rPr>
            </w:pPr>
            <w:r w:rsidRPr="0029157F">
              <w:rPr>
                <w:rFonts w:ascii="Arial" w:eastAsia="Times New Roman" w:hAnsi="Arial" w:cs="Arial"/>
                <w:b/>
                <w:bCs/>
                <w:noProof/>
                <w:color w:val="FFFFFF" w:themeColor="background1"/>
                <w:lang w:eastAsia="lv-LV"/>
              </w:rPr>
              <w:t>Service set</w:t>
            </w:r>
          </w:p>
        </w:tc>
      </w:tr>
      <w:tr w:rsidR="00D0476E" w:rsidRPr="00D0476E" w:rsidTr="00F51AA3">
        <w:trPr>
          <w:trHeight w:val="6518"/>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462A8" w:rsidRPr="00B462A8" w:rsidRDefault="00B462A8" w:rsidP="00B462A8">
            <w:pPr>
              <w:spacing w:before="20" w:after="20" w:line="240" w:lineRule="auto"/>
              <w:rPr>
                <w:rFonts w:ascii="Arial" w:eastAsia="Times New Roman" w:hAnsi="Arial" w:cs="Arial"/>
                <w:b/>
                <w:noProof/>
                <w:color w:val="000000"/>
                <w:sz w:val="20"/>
                <w:szCs w:val="20"/>
                <w:lang w:eastAsia="lv-LV"/>
              </w:rPr>
            </w:pPr>
            <w:r w:rsidRPr="00B462A8">
              <w:rPr>
                <w:rFonts w:ascii="Arial" w:eastAsia="Times New Roman" w:hAnsi="Arial" w:cs="Arial"/>
                <w:b/>
                <w:noProof/>
                <w:color w:val="000000"/>
                <w:sz w:val="20"/>
                <w:szCs w:val="20"/>
                <w:lang w:eastAsia="lv-LV"/>
              </w:rPr>
              <w:t>1) Bank account for seniors</w:t>
            </w:r>
          </w:p>
          <w:p w:rsidR="00B462A8" w:rsidRPr="00B462A8" w:rsidRDefault="00B462A8" w:rsidP="00B462A8">
            <w:pPr>
              <w:spacing w:before="20" w:after="20" w:line="240" w:lineRule="auto"/>
              <w:rPr>
                <w:rFonts w:ascii="Arial" w:eastAsia="Times New Roman" w:hAnsi="Arial" w:cs="Arial"/>
                <w:noProof/>
                <w:color w:val="000000"/>
                <w:sz w:val="16"/>
                <w:szCs w:val="16"/>
                <w:u w:val="single"/>
                <w:lang w:eastAsia="lv-LV"/>
              </w:rPr>
            </w:pPr>
            <w:r w:rsidRPr="00B462A8">
              <w:rPr>
                <w:rFonts w:ascii="Arial" w:eastAsia="Times New Roman" w:hAnsi="Arial" w:cs="Arial"/>
                <w:noProof/>
                <w:color w:val="000000"/>
                <w:sz w:val="16"/>
                <w:szCs w:val="16"/>
                <w:u w:val="single"/>
                <w:lang w:eastAsia="lv-LV"/>
              </w:rPr>
              <w:t>Basic services</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account (execution and servicing)</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payment card Mastercard® Debit (issuance and use)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online bank PNB (execution and use)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online bank’s authorisation tool SMS-PIN (execution and use)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transfers via online bank in EUR within the European Economic area (except for payment of invoices placed at www.rekini.lv)</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p>
          <w:p w:rsidR="00B462A8" w:rsidRPr="00B462A8" w:rsidRDefault="00B462A8" w:rsidP="00B462A8">
            <w:pPr>
              <w:spacing w:before="20" w:after="20" w:line="240" w:lineRule="auto"/>
              <w:rPr>
                <w:rFonts w:ascii="Arial" w:eastAsia="Times New Roman" w:hAnsi="Arial" w:cs="Arial"/>
                <w:noProof/>
                <w:color w:val="000000"/>
                <w:sz w:val="16"/>
                <w:szCs w:val="16"/>
                <w:u w:val="single"/>
                <w:lang w:eastAsia="lv-LV"/>
              </w:rPr>
            </w:pPr>
            <w:r w:rsidRPr="00B462A8">
              <w:rPr>
                <w:rFonts w:ascii="Arial" w:eastAsia="Times New Roman" w:hAnsi="Arial" w:cs="Arial"/>
                <w:noProof/>
                <w:color w:val="000000"/>
                <w:sz w:val="16"/>
                <w:szCs w:val="16"/>
                <w:u w:val="single"/>
                <w:lang w:eastAsia="lv-LV"/>
              </w:rPr>
              <w:t>Additional services</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execution of a power of attorney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payment of utility bills – 0.50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utility payments to the receiver’s account with the Bank or another bank in Latvua if an accident insurance certificate has been executed in the name of the Client (the price of the insurance certificate – 29.00 EUR) - 0.25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preparation and issuance of an account statement for the last 3 months at a customer service centre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addition to an interest rate if a deposit is placed for 13 months or more – 0.05% points</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cash withdrawal at a branch in EUR currency up to 1000 EUR per day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cash withdrawal using a payment card</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PNB Banka’s ATMs (Raiņa Boulevard 11, Prūšu Street 2B, Riga)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PNB Banka’s POS-terminals using a card</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up to 700 EUR, one transaction per month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above 700 EUR – 1% min. 1.50 EUR of the amount that exceeds 700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 commission in the amount of 1% of the amount is applied to all the rest transactions carried out during the month, min. 1.50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in other banks’ ATMs in Latvia and abroad: up to 700 EUR one transaction per month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above 700 EUR – 1%, min. 1.50 EUR, of the amount that exceeds 700 EUR; a commission in the amount of 1% of the amount is applied to all the rest transactions carried out during the month, min. 1.50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request for account statement in PNB Banka’s ATM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receipt of a payment card at the Bank’s customer service centre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fee for the issuance and use of an additional card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InfoLINE connection fee to receive an account statement – free of charge</w:t>
            </w:r>
          </w:p>
          <w:p w:rsidR="00D0476E" w:rsidRPr="00D0476E" w:rsidRDefault="00B462A8" w:rsidP="00B462A8">
            <w:pPr>
              <w:spacing w:before="20" w:after="20" w:line="240" w:lineRule="auto"/>
              <w:rPr>
                <w:rFonts w:ascii="Arial" w:eastAsia="Times New Roman" w:hAnsi="Arial" w:cs="Arial"/>
                <w:noProof/>
                <w:color w:val="000000"/>
                <w:sz w:val="20"/>
                <w:szCs w:val="20"/>
                <w:lang w:eastAsia="lv-LV"/>
              </w:rPr>
            </w:pPr>
            <w:r w:rsidRPr="00B462A8">
              <w:rPr>
                <w:rFonts w:ascii="Arial" w:eastAsia="Times New Roman" w:hAnsi="Arial" w:cs="Arial"/>
                <w:noProof/>
                <w:color w:val="000000"/>
                <w:sz w:val="16"/>
                <w:szCs w:val="16"/>
                <w:lang w:eastAsia="lv-LV"/>
              </w:rPr>
              <w:t xml:space="preserve"> - verification of documents of a natural person or their authorised person with a residence permit to open an account – free of charge</w:t>
            </w:r>
          </w:p>
        </w:tc>
        <w:tc>
          <w:tcPr>
            <w:tcW w:w="3402" w:type="dxa"/>
            <w:tcBorders>
              <w:top w:val="nil"/>
              <w:left w:val="nil"/>
              <w:bottom w:val="single" w:sz="4" w:space="0" w:color="auto"/>
              <w:right w:val="single" w:sz="8" w:space="0" w:color="auto"/>
            </w:tcBorders>
            <w:shd w:val="clear" w:color="auto" w:fill="auto"/>
            <w:noWrap/>
            <w:hideMark/>
          </w:tcPr>
          <w:p w:rsidR="00E814B9" w:rsidRPr="00F51AA3" w:rsidRDefault="00E814B9" w:rsidP="001F7F40">
            <w:pPr>
              <w:spacing w:before="20" w:after="20" w:line="240" w:lineRule="auto"/>
              <w:rPr>
                <w:rFonts w:ascii="Arial" w:eastAsia="Times New Roman" w:hAnsi="Arial" w:cs="Arial"/>
                <w:noProof/>
                <w:color w:val="000000"/>
                <w:sz w:val="20"/>
                <w:szCs w:val="20"/>
                <w:lang w:eastAsia="lv-LV"/>
              </w:rPr>
            </w:pPr>
            <w:r w:rsidRPr="00F51AA3">
              <w:rPr>
                <w:rFonts w:ascii="Arial" w:eastAsia="Times New Roman" w:hAnsi="Arial" w:cs="Arial"/>
                <w:noProof/>
                <w:color w:val="000000"/>
                <w:sz w:val="20"/>
                <w:szCs w:val="20"/>
                <w:lang w:eastAsia="lv-LV"/>
              </w:rPr>
              <w:t>0.45 EUR</w:t>
            </w:r>
          </w:p>
          <w:p w:rsidR="00D0476E" w:rsidRPr="00B462A8" w:rsidRDefault="00B462A8" w:rsidP="001F7F40">
            <w:pPr>
              <w:spacing w:before="20" w:after="20" w:line="240" w:lineRule="auto"/>
              <w:rPr>
                <w:rFonts w:ascii="Arial" w:eastAsia="Times New Roman" w:hAnsi="Arial" w:cs="Arial"/>
                <w:i/>
                <w:noProof/>
                <w:color w:val="000000"/>
                <w:sz w:val="16"/>
                <w:szCs w:val="16"/>
                <w:lang w:eastAsia="lv-LV"/>
              </w:rPr>
            </w:pPr>
            <w:r w:rsidRPr="00B462A8">
              <w:rPr>
                <w:rFonts w:ascii="Arial" w:eastAsia="Times New Roman" w:hAnsi="Arial" w:cs="Arial"/>
                <w:i/>
                <w:noProof/>
                <w:color w:val="000000"/>
                <w:sz w:val="16"/>
                <w:szCs w:val="16"/>
                <w:lang w:eastAsia="lv-LV"/>
              </w:rPr>
              <w:t>(if a pension is credited to the account)</w:t>
            </w:r>
          </w:p>
        </w:tc>
      </w:tr>
      <w:tr w:rsidR="00D0476E" w:rsidRPr="00D0476E" w:rsidTr="00F51AA3">
        <w:trPr>
          <w:trHeight w:val="4817"/>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B462A8" w:rsidRPr="00B462A8" w:rsidRDefault="00B462A8" w:rsidP="00B462A8">
            <w:pPr>
              <w:spacing w:before="20" w:after="20" w:line="240" w:lineRule="auto"/>
              <w:rPr>
                <w:rFonts w:ascii="Arial" w:eastAsia="Times New Roman" w:hAnsi="Arial" w:cs="Arial"/>
                <w:b/>
                <w:noProof/>
                <w:color w:val="000000"/>
                <w:sz w:val="20"/>
                <w:szCs w:val="20"/>
                <w:lang w:eastAsia="lv-LV"/>
              </w:rPr>
            </w:pPr>
            <w:r w:rsidRPr="00B462A8">
              <w:rPr>
                <w:rFonts w:ascii="Arial" w:eastAsia="Times New Roman" w:hAnsi="Arial" w:cs="Arial"/>
                <w:b/>
                <w:noProof/>
                <w:color w:val="000000"/>
                <w:sz w:val="20"/>
                <w:szCs w:val="20"/>
                <w:lang w:eastAsia="lv-LV"/>
              </w:rPr>
              <w:lastRenderedPageBreak/>
              <w:t>2) Everyday Set</w:t>
            </w:r>
          </w:p>
          <w:p w:rsidR="00B462A8" w:rsidRPr="00B462A8" w:rsidRDefault="00B462A8" w:rsidP="00B462A8">
            <w:pPr>
              <w:spacing w:before="20" w:after="20" w:line="240" w:lineRule="auto"/>
              <w:rPr>
                <w:rFonts w:ascii="Arial" w:eastAsia="Times New Roman" w:hAnsi="Arial" w:cs="Arial"/>
                <w:noProof/>
                <w:color w:val="000000"/>
                <w:sz w:val="16"/>
                <w:szCs w:val="16"/>
                <w:u w:val="single"/>
                <w:lang w:eastAsia="lv-LV"/>
              </w:rPr>
            </w:pPr>
            <w:r w:rsidRPr="00B462A8">
              <w:rPr>
                <w:rFonts w:ascii="Arial" w:eastAsia="Times New Roman" w:hAnsi="Arial" w:cs="Arial"/>
                <w:noProof/>
                <w:color w:val="000000"/>
                <w:sz w:val="16"/>
                <w:szCs w:val="16"/>
                <w:u w:val="single"/>
                <w:lang w:eastAsia="lv-LV"/>
              </w:rPr>
              <w:t>Basic services</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account (execution and servicing)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payment card Mastercard® Standard issuance and use)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online bank PNB (execution and use)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online bank’s authorisation tool SMS-PIN (execution and use)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transfers via online bank (in EUR within the European Economic area)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p>
          <w:p w:rsidR="00B462A8" w:rsidRPr="00B462A8" w:rsidRDefault="00B462A8" w:rsidP="00B462A8">
            <w:pPr>
              <w:spacing w:before="20" w:after="20" w:line="240" w:lineRule="auto"/>
              <w:rPr>
                <w:rFonts w:ascii="Arial" w:eastAsia="Times New Roman" w:hAnsi="Arial" w:cs="Arial"/>
                <w:noProof/>
                <w:color w:val="000000"/>
                <w:sz w:val="16"/>
                <w:szCs w:val="16"/>
                <w:u w:val="single"/>
                <w:lang w:eastAsia="lv-LV"/>
              </w:rPr>
            </w:pPr>
            <w:r w:rsidRPr="00B462A8">
              <w:rPr>
                <w:rFonts w:ascii="Arial" w:eastAsia="Times New Roman" w:hAnsi="Arial" w:cs="Arial"/>
                <w:noProof/>
                <w:color w:val="000000"/>
                <w:sz w:val="16"/>
                <w:szCs w:val="16"/>
                <w:u w:val="single"/>
                <w:lang w:eastAsia="lv-LV"/>
              </w:rPr>
              <w:t>Additional services</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cash withdrawal using a payment card</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PNB Banka’s ATMs (Raiņa Boulevard 11, Prūšu Street 2B, Riga)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PNB Banka’s POS-terminals using a card in EUR currency</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first three transactions in a month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all the rest transactions executed during the month – 1% min. 1.50 EUR )</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in other banks’ ATMs in Latvia and abroad</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first three transactions in a month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all the rest transactions executed during the month – 1% of the amount, (min. EUR 1.50)</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in other banks’ POS-terminals in Latvia and abroad – 2%, min. 3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request for account statement in PNB Banka’s ATM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fee for the issuance and use of an additional card (for a child aged 7-17 (inclusive)) – free of charge</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fee for the issuance and use of an additional card – 0.75 EUR</w:t>
            </w:r>
          </w:p>
          <w:p w:rsidR="00B462A8" w:rsidRPr="00B462A8" w:rsidRDefault="00B462A8" w:rsidP="00B462A8">
            <w:pPr>
              <w:spacing w:before="20" w:after="20" w:line="240" w:lineRule="auto"/>
              <w:rPr>
                <w:rFonts w:ascii="Arial" w:eastAsia="Times New Roman" w:hAnsi="Arial" w:cs="Arial"/>
                <w:noProof/>
                <w:color w:val="000000"/>
                <w:sz w:val="16"/>
                <w:szCs w:val="16"/>
                <w:lang w:eastAsia="lv-LV"/>
              </w:rPr>
            </w:pPr>
            <w:r w:rsidRPr="00B462A8">
              <w:rPr>
                <w:rFonts w:ascii="Arial" w:eastAsia="Times New Roman" w:hAnsi="Arial" w:cs="Arial"/>
                <w:noProof/>
                <w:color w:val="000000"/>
                <w:sz w:val="16"/>
                <w:szCs w:val="16"/>
                <w:lang w:eastAsia="lv-LV"/>
              </w:rPr>
              <w:t xml:space="preserve"> - discount for the following products (when applying for a product  at a customer service centre): fee for currency exchange (conversion); fee for the execution and issuance of a consumer loan; acquisition of a property insurance, accident insurance and OCTA certificate – 5% off the standard price</w:t>
            </w:r>
          </w:p>
          <w:p w:rsidR="00D0476E" w:rsidRPr="00D0476E" w:rsidRDefault="00B462A8" w:rsidP="00B462A8">
            <w:pPr>
              <w:spacing w:before="20" w:after="20" w:line="240" w:lineRule="auto"/>
              <w:rPr>
                <w:rFonts w:ascii="Arial" w:eastAsia="Times New Roman" w:hAnsi="Arial" w:cs="Arial"/>
                <w:noProof/>
                <w:color w:val="000000"/>
                <w:sz w:val="20"/>
                <w:szCs w:val="20"/>
                <w:lang w:eastAsia="lv-LV"/>
              </w:rPr>
            </w:pPr>
            <w:r w:rsidRPr="00B462A8">
              <w:rPr>
                <w:rFonts w:ascii="Arial" w:eastAsia="Times New Roman" w:hAnsi="Arial" w:cs="Arial"/>
                <w:noProof/>
                <w:color w:val="000000"/>
                <w:sz w:val="16"/>
                <w:szCs w:val="16"/>
                <w:lang w:eastAsia="lv-LV"/>
              </w:rPr>
              <w:t xml:space="preserve"> - addition to the interest rate if a deposit is placed for 13 months or more – 0.05% points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53E0" w:rsidRPr="00F51AA3" w:rsidRDefault="003353E0" w:rsidP="001F7F40">
            <w:pPr>
              <w:spacing w:before="20" w:after="20" w:line="240" w:lineRule="auto"/>
              <w:rPr>
                <w:rFonts w:ascii="Arial" w:eastAsia="Times New Roman" w:hAnsi="Arial" w:cs="Arial"/>
                <w:noProof/>
                <w:color w:val="000000"/>
                <w:sz w:val="20"/>
                <w:szCs w:val="20"/>
                <w:lang w:eastAsia="lv-LV"/>
              </w:rPr>
            </w:pPr>
            <w:r w:rsidRPr="00F51AA3">
              <w:rPr>
                <w:rFonts w:ascii="Arial" w:eastAsia="Times New Roman" w:hAnsi="Arial" w:cs="Arial"/>
                <w:noProof/>
                <w:color w:val="000000"/>
                <w:sz w:val="20"/>
                <w:szCs w:val="20"/>
                <w:lang w:eastAsia="lv-LV"/>
              </w:rPr>
              <w:t>1.50 EUR</w:t>
            </w:r>
          </w:p>
          <w:p w:rsidR="00D0476E" w:rsidRPr="00D0476E" w:rsidRDefault="00B462A8" w:rsidP="001F7F40">
            <w:pPr>
              <w:spacing w:before="20" w:after="20" w:line="240" w:lineRule="auto"/>
              <w:rPr>
                <w:rFonts w:ascii="Arial" w:eastAsia="Times New Roman" w:hAnsi="Arial" w:cs="Arial"/>
                <w:i/>
                <w:noProof/>
                <w:color w:val="000000"/>
                <w:sz w:val="16"/>
                <w:szCs w:val="16"/>
                <w:lang w:eastAsia="lv-LV"/>
              </w:rPr>
            </w:pPr>
            <w:r w:rsidRPr="00B462A8">
              <w:rPr>
                <w:rFonts w:ascii="Arial" w:eastAsia="Times New Roman" w:hAnsi="Arial" w:cs="Arial"/>
                <w:i/>
                <w:noProof/>
                <w:color w:val="000000"/>
                <w:sz w:val="16"/>
                <w:szCs w:val="16"/>
                <w:lang w:eastAsia="lv-LV"/>
              </w:rPr>
              <w:t>(if during the previous calendar month the client has made at least 5 banking transactions (such as transfers from the account attached to the set (the activity does not include the transfers made under one Client at the Bank), payments made by payment cards for goods and services or withdrawal of cash from ATM using the payment card attached to the set))</w:t>
            </w:r>
          </w:p>
        </w:tc>
      </w:tr>
      <w:tr w:rsidR="00D0476E" w:rsidRPr="00D0476E" w:rsidTr="004473AB">
        <w:trPr>
          <w:trHeight w:val="50"/>
        </w:trPr>
        <w:tc>
          <w:tcPr>
            <w:tcW w:w="2386" w:type="dxa"/>
            <w:tcBorders>
              <w:top w:val="nil"/>
              <w:left w:val="single" w:sz="8" w:space="0" w:color="auto"/>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c>
          <w:tcPr>
            <w:tcW w:w="5269" w:type="dxa"/>
            <w:tcBorders>
              <w:top w:val="nil"/>
              <w:left w:val="nil"/>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p>
        </w:tc>
        <w:tc>
          <w:tcPr>
            <w:tcW w:w="3402" w:type="dxa"/>
            <w:tcBorders>
              <w:top w:val="nil"/>
              <w:left w:val="nil"/>
              <w:bottom w:val="nil"/>
              <w:right w:val="single" w:sz="8" w:space="0" w:color="auto"/>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r>
      <w:tr w:rsidR="00D0476E" w:rsidRPr="00D0476E" w:rsidTr="001F7F40">
        <w:trPr>
          <w:trHeight w:val="360"/>
        </w:trPr>
        <w:tc>
          <w:tcPr>
            <w:tcW w:w="11057" w:type="dxa"/>
            <w:gridSpan w:val="3"/>
            <w:tcBorders>
              <w:top w:val="single" w:sz="4" w:space="0" w:color="auto"/>
              <w:left w:val="single" w:sz="8" w:space="0" w:color="auto"/>
              <w:bottom w:val="single" w:sz="4" w:space="0" w:color="auto"/>
              <w:right w:val="single" w:sz="8" w:space="0" w:color="000000"/>
            </w:tcBorders>
            <w:shd w:val="clear" w:color="000000" w:fill="FFFFFF"/>
            <w:noWrap/>
            <w:hideMark/>
          </w:tcPr>
          <w:p w:rsidR="00D0476E" w:rsidRPr="00D0476E" w:rsidRDefault="00CD2529" w:rsidP="001F7F40">
            <w:pPr>
              <w:spacing w:before="20" w:after="20" w:line="240" w:lineRule="auto"/>
              <w:rPr>
                <w:rFonts w:ascii="Arial" w:eastAsia="Times New Roman" w:hAnsi="Arial" w:cs="Arial"/>
                <w:b/>
                <w:bCs/>
                <w:noProof/>
                <w:sz w:val="24"/>
                <w:szCs w:val="24"/>
                <w:lang w:eastAsia="lv-LV"/>
              </w:rPr>
            </w:pPr>
            <w:r w:rsidRPr="00CD2529">
              <w:rPr>
                <w:rFonts w:ascii="Arial" w:eastAsia="Times New Roman" w:hAnsi="Arial" w:cs="Arial"/>
                <w:b/>
                <w:bCs/>
                <w:noProof/>
                <w:sz w:val="24"/>
                <w:szCs w:val="24"/>
                <w:lang w:eastAsia="lv-LV"/>
              </w:rPr>
              <w:t>The comprehensive cost indicator</w:t>
            </w:r>
            <w:r w:rsidRPr="00CD2529">
              <w:rPr>
                <w:rFonts w:ascii="Arial" w:eastAsia="Times New Roman" w:hAnsi="Arial" w:cs="Arial"/>
                <w:b/>
                <w:bCs/>
                <w:noProof/>
                <w:sz w:val="24"/>
                <w:szCs w:val="24"/>
                <w:vertAlign w:val="superscript"/>
                <w:lang w:eastAsia="lv-LV"/>
              </w:rPr>
              <w:t>3</w:t>
            </w:r>
          </w:p>
        </w:tc>
      </w:tr>
      <w:tr w:rsidR="00D0476E" w:rsidRPr="00D0476E" w:rsidTr="004473AB">
        <w:trPr>
          <w:trHeight w:val="2157"/>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3F9D" w:rsidRPr="00283F9D" w:rsidRDefault="00283F9D" w:rsidP="00283F9D">
            <w:pPr>
              <w:spacing w:before="20" w:after="20" w:line="240" w:lineRule="auto"/>
              <w:rPr>
                <w:rFonts w:ascii="Arial" w:eastAsia="Times New Roman" w:hAnsi="Arial" w:cs="Arial"/>
                <w:noProof/>
                <w:color w:val="000000"/>
                <w:sz w:val="20"/>
                <w:szCs w:val="20"/>
                <w:lang w:eastAsia="lv-LV"/>
              </w:rPr>
            </w:pPr>
            <w:r w:rsidRPr="00283F9D">
              <w:rPr>
                <w:rFonts w:ascii="Arial" w:eastAsia="Times New Roman" w:hAnsi="Arial" w:cs="Arial"/>
                <w:noProof/>
                <w:color w:val="000000"/>
                <w:sz w:val="20"/>
                <w:szCs w:val="20"/>
                <w:lang w:eastAsia="lv-LV"/>
              </w:rPr>
              <w:t xml:space="preserve">The comprehensive </w:t>
            </w:r>
            <w:r w:rsidR="00CD2529" w:rsidRPr="00CD2529">
              <w:rPr>
                <w:rFonts w:ascii="Arial" w:eastAsia="Times New Roman" w:hAnsi="Arial" w:cs="Arial"/>
                <w:noProof/>
                <w:color w:val="000000"/>
                <w:sz w:val="20"/>
                <w:szCs w:val="20"/>
                <w:lang w:eastAsia="lv-LV"/>
              </w:rPr>
              <w:t xml:space="preserve">cost indicator </w:t>
            </w:r>
            <w:r w:rsidRPr="00283F9D">
              <w:rPr>
                <w:rFonts w:ascii="Arial" w:eastAsia="Times New Roman" w:hAnsi="Arial" w:cs="Arial"/>
                <w:noProof/>
                <w:color w:val="000000"/>
                <w:sz w:val="20"/>
                <w:szCs w:val="20"/>
                <w:lang w:eastAsia="lv-LV"/>
              </w:rPr>
              <w:t xml:space="preserve">has been calculated on the basis of operations performed per year: </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current account opened;</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debit and/or credit card opened and used every month (not including credit limit);</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Internet banking site activated and used every month;</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means of authentication issued;</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on the Internet banking site, unlimited transfers in EUR made to one's own account and/or unlimited transfers to another person's account with PNB Banka;</w:t>
            </w:r>
          </w:p>
          <w:p w:rsidR="00283F9D" w:rsidRPr="00283F9D" w:rsidRDefault="00283F9D" w:rsidP="00283F9D">
            <w:pPr>
              <w:spacing w:before="20" w:after="20" w:line="240" w:lineRule="auto"/>
              <w:rPr>
                <w:rFonts w:ascii="Arial" w:eastAsia="Times New Roman" w:hAnsi="Arial" w:cs="Arial"/>
                <w:noProof/>
                <w:color w:val="000000"/>
                <w:sz w:val="16"/>
                <w:szCs w:val="16"/>
                <w:lang w:eastAsia="lv-LV"/>
              </w:rPr>
            </w:pPr>
            <w:r w:rsidRPr="00283F9D">
              <w:rPr>
                <w:rFonts w:ascii="Arial" w:eastAsia="Times New Roman" w:hAnsi="Arial" w:cs="Arial"/>
                <w:noProof/>
                <w:color w:val="000000"/>
                <w:sz w:val="16"/>
                <w:szCs w:val="16"/>
                <w:lang w:eastAsia="lv-LV"/>
              </w:rPr>
              <w:t>• on the Internet banking site, 20 transfers in EUR made to another bank in Latvia or the EEA</w:t>
            </w:r>
            <w:r w:rsidRPr="001A4BE9">
              <w:rPr>
                <w:rFonts w:ascii="Arial" w:eastAsia="Times New Roman" w:hAnsi="Arial" w:cs="Arial"/>
                <w:noProof/>
                <w:color w:val="000000"/>
                <w:sz w:val="16"/>
                <w:szCs w:val="16"/>
                <w:vertAlign w:val="superscript"/>
                <w:lang w:eastAsia="lv-LV"/>
              </w:rPr>
              <w:t>2</w:t>
            </w:r>
            <w:r w:rsidRPr="00283F9D">
              <w:rPr>
                <w:rFonts w:ascii="Arial" w:eastAsia="Times New Roman" w:hAnsi="Arial" w:cs="Arial"/>
                <w:noProof/>
                <w:color w:val="000000"/>
                <w:sz w:val="16"/>
                <w:szCs w:val="16"/>
                <w:lang w:eastAsia="lv-LV"/>
              </w:rPr>
              <w:t>;</w:t>
            </w:r>
          </w:p>
          <w:p w:rsidR="00D0476E" w:rsidRPr="00D0476E" w:rsidRDefault="00283F9D" w:rsidP="00283F9D">
            <w:pPr>
              <w:spacing w:before="20" w:after="20" w:line="240" w:lineRule="auto"/>
              <w:rPr>
                <w:rFonts w:ascii="Arial" w:eastAsia="Times New Roman" w:hAnsi="Arial" w:cs="Arial"/>
                <w:noProof/>
                <w:color w:val="000000"/>
                <w:sz w:val="20"/>
                <w:szCs w:val="20"/>
                <w:lang w:eastAsia="lv-LV"/>
              </w:rPr>
            </w:pPr>
            <w:r w:rsidRPr="00283F9D">
              <w:rPr>
                <w:rFonts w:ascii="Arial" w:eastAsia="Times New Roman" w:hAnsi="Arial" w:cs="Arial"/>
                <w:noProof/>
                <w:color w:val="000000"/>
                <w:sz w:val="16"/>
                <w:szCs w:val="16"/>
                <w:lang w:eastAsia="lv-LV"/>
              </w:rPr>
              <w:t>• every month, cash withdrawn in the amount of the minimum salary with a debit card at a PNB Banka ATM.</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0476E" w:rsidRPr="00D0476E" w:rsidRDefault="00F26028" w:rsidP="00F26028">
            <w:pPr>
              <w:spacing w:before="20" w:after="20" w:line="240" w:lineRule="auto"/>
              <w:rPr>
                <w:rFonts w:ascii="Arial" w:eastAsia="Times New Roman" w:hAnsi="Arial" w:cs="Arial"/>
                <w:noProof/>
                <w:color w:val="000000"/>
                <w:sz w:val="20"/>
                <w:szCs w:val="20"/>
                <w:lang w:eastAsia="lv-LV"/>
              </w:rPr>
            </w:pPr>
            <w:r>
              <w:rPr>
                <w:rFonts w:ascii="Arial" w:eastAsia="Times New Roman" w:hAnsi="Arial" w:cs="Arial"/>
                <w:noProof/>
                <w:color w:val="000000"/>
                <w:sz w:val="20"/>
                <w:szCs w:val="20"/>
                <w:lang w:eastAsia="lv-LV"/>
              </w:rPr>
              <w:t>37.60</w:t>
            </w:r>
            <w:r w:rsidR="00D0476E" w:rsidRPr="00D0476E">
              <w:rPr>
                <w:rFonts w:ascii="Arial" w:eastAsia="Times New Roman" w:hAnsi="Arial" w:cs="Arial"/>
                <w:noProof/>
                <w:color w:val="000000"/>
                <w:sz w:val="20"/>
                <w:szCs w:val="20"/>
                <w:lang w:eastAsia="lv-LV"/>
              </w:rPr>
              <w:t xml:space="preserve"> EUR</w:t>
            </w:r>
          </w:p>
        </w:tc>
      </w:tr>
      <w:tr w:rsidR="00D0476E" w:rsidRPr="00D0476E" w:rsidTr="00D0476E">
        <w:trPr>
          <w:trHeight w:val="285"/>
        </w:trPr>
        <w:tc>
          <w:tcPr>
            <w:tcW w:w="11057" w:type="dxa"/>
            <w:gridSpan w:val="3"/>
            <w:tcBorders>
              <w:top w:val="nil"/>
              <w:left w:val="nil"/>
              <w:bottom w:val="nil"/>
              <w:right w:val="nil"/>
            </w:tcBorders>
            <w:shd w:val="clear" w:color="auto" w:fill="auto"/>
            <w:noWrap/>
            <w:vAlign w:val="bottom"/>
            <w:hideMark/>
          </w:tcPr>
          <w:p w:rsidR="00D0476E" w:rsidRPr="00F51AA3" w:rsidRDefault="00D0476E" w:rsidP="001F7F40">
            <w:pPr>
              <w:spacing w:before="20" w:after="20" w:line="240" w:lineRule="auto"/>
              <w:rPr>
                <w:rFonts w:ascii="Arial" w:eastAsia="Times New Roman" w:hAnsi="Arial" w:cs="Arial"/>
                <w:noProof/>
                <w:color w:val="000000"/>
                <w:sz w:val="16"/>
                <w:szCs w:val="16"/>
                <w:lang w:eastAsia="lv-LV"/>
              </w:rPr>
            </w:pPr>
            <w:r w:rsidRPr="00CD2529">
              <w:rPr>
                <w:rFonts w:ascii="Arial" w:eastAsia="Times New Roman" w:hAnsi="Arial" w:cs="Arial"/>
                <w:noProof/>
                <w:color w:val="000000"/>
                <w:sz w:val="16"/>
                <w:szCs w:val="16"/>
                <w:vertAlign w:val="superscript"/>
                <w:lang w:eastAsia="lv-LV"/>
              </w:rPr>
              <w:t>1</w:t>
            </w:r>
            <w:r w:rsidRPr="00D0476E">
              <w:rPr>
                <w:rFonts w:ascii="Arial" w:eastAsia="Times New Roman" w:hAnsi="Arial" w:cs="Arial"/>
                <w:noProof/>
                <w:color w:val="000000"/>
                <w:sz w:val="16"/>
                <w:szCs w:val="16"/>
                <w:lang w:eastAsia="lv-LV"/>
              </w:rPr>
              <w:t xml:space="preserve"> </w:t>
            </w:r>
            <w:r w:rsidR="00283F9D" w:rsidRPr="00283F9D">
              <w:rPr>
                <w:rFonts w:ascii="Arial" w:eastAsia="Times New Roman" w:hAnsi="Arial" w:cs="Arial"/>
                <w:noProof/>
                <w:color w:val="000000"/>
                <w:sz w:val="16"/>
                <w:szCs w:val="16"/>
                <w:lang w:eastAsia="lv-LV"/>
              </w:rPr>
              <w:t>The Rate Information Document includes services in EUR.</w:t>
            </w:r>
          </w:p>
          <w:p w:rsidR="00D0476E" w:rsidRDefault="00D0476E" w:rsidP="001F7F40">
            <w:pPr>
              <w:spacing w:before="20" w:after="20" w:line="240" w:lineRule="auto"/>
              <w:rPr>
                <w:rFonts w:ascii="Arial" w:eastAsia="Times New Roman" w:hAnsi="Arial" w:cs="Arial"/>
                <w:noProof/>
                <w:color w:val="000000"/>
                <w:sz w:val="16"/>
                <w:szCs w:val="16"/>
                <w:lang w:eastAsia="lv-LV"/>
              </w:rPr>
            </w:pPr>
            <w:r w:rsidRPr="00CD2529">
              <w:rPr>
                <w:rFonts w:ascii="Arial" w:eastAsia="Times New Roman" w:hAnsi="Arial" w:cs="Arial"/>
                <w:noProof/>
                <w:color w:val="000000"/>
                <w:sz w:val="16"/>
                <w:szCs w:val="16"/>
                <w:vertAlign w:val="superscript"/>
                <w:lang w:eastAsia="lv-LV"/>
              </w:rPr>
              <w:t>2</w:t>
            </w:r>
            <w:r w:rsidRPr="00D0476E">
              <w:rPr>
                <w:rFonts w:ascii="Arial" w:eastAsia="Times New Roman" w:hAnsi="Arial" w:cs="Arial"/>
                <w:noProof/>
                <w:color w:val="000000"/>
                <w:sz w:val="16"/>
                <w:szCs w:val="16"/>
                <w:lang w:eastAsia="lv-LV"/>
              </w:rPr>
              <w:t xml:space="preserve"> </w:t>
            </w:r>
            <w:r w:rsidR="00283F9D" w:rsidRPr="00283F9D">
              <w:rPr>
                <w:rFonts w:ascii="Arial" w:eastAsia="Times New Roman" w:hAnsi="Arial" w:cs="Arial"/>
                <w:noProof/>
                <w:color w:val="000000"/>
                <w:sz w:val="16"/>
                <w:szCs w:val="16"/>
                <w:lang w:eastAsia="lv-LV"/>
              </w:rPr>
              <w:t>European Economic Area (EEA) countries: Austria, Belgium, Bulgaria, Czech Republic, Denmark, France (including French Guiana, Guadeloupe, Martinique, Réunion), Greece, Croatia, Estonia, Italy, Ireland, Iceland, Cyprus, Latvia, United Kingdom (including Gibraltar), Lithuania, Lichtenstein, Luxembourg, Malta, Netherlands, Norway, Poland, Portugal, Romania, Slovakia, Slovenia, Finland, Spain, Hungary, Germany, Sweden.</w:t>
            </w:r>
          </w:p>
          <w:p w:rsidR="00CD2529" w:rsidRPr="00D0476E" w:rsidRDefault="00CD2529" w:rsidP="001F7F40">
            <w:pPr>
              <w:spacing w:before="20" w:after="20" w:line="240" w:lineRule="auto"/>
              <w:rPr>
                <w:rFonts w:ascii="Arial" w:eastAsia="Times New Roman" w:hAnsi="Arial" w:cs="Arial"/>
                <w:noProof/>
                <w:color w:val="000000"/>
                <w:sz w:val="16"/>
                <w:szCs w:val="16"/>
                <w:lang w:eastAsia="lv-LV"/>
              </w:rPr>
            </w:pPr>
            <w:r w:rsidRPr="00CD2529">
              <w:rPr>
                <w:rFonts w:ascii="Arial" w:eastAsia="Times New Roman" w:hAnsi="Arial" w:cs="Arial"/>
                <w:noProof/>
                <w:color w:val="000000"/>
                <w:sz w:val="16"/>
                <w:szCs w:val="16"/>
                <w:vertAlign w:val="superscript"/>
                <w:lang w:eastAsia="lv-LV"/>
              </w:rPr>
              <w:t>3</w:t>
            </w:r>
            <w:r>
              <w:rPr>
                <w:rFonts w:ascii="Arial" w:eastAsia="Times New Roman" w:hAnsi="Arial" w:cs="Arial"/>
                <w:noProof/>
                <w:color w:val="000000"/>
                <w:sz w:val="16"/>
                <w:szCs w:val="16"/>
                <w:lang w:eastAsia="lv-LV"/>
              </w:rPr>
              <w:t xml:space="preserve"> </w:t>
            </w:r>
            <w:r w:rsidRPr="00CD2529">
              <w:rPr>
                <w:rFonts w:ascii="Arial" w:eastAsia="Times New Roman" w:hAnsi="Arial" w:cs="Arial"/>
                <w:noProof/>
                <w:color w:val="000000"/>
                <w:sz w:val="16"/>
                <w:szCs w:val="16"/>
                <w:lang w:eastAsia="lv-LV"/>
              </w:rPr>
              <w:t>The comprehensive cost indicator shows the potential annual costs for a defined client profile; the client profile is defined based on the average statistical banking industry indicators</w:t>
            </w:r>
          </w:p>
        </w:tc>
      </w:tr>
    </w:tbl>
    <w:p w:rsidR="006E28B9" w:rsidRPr="00F51AA3" w:rsidRDefault="006E28B9" w:rsidP="004473AB">
      <w:pPr>
        <w:spacing w:before="20" w:after="20" w:line="240" w:lineRule="auto"/>
        <w:rPr>
          <w:noProof/>
        </w:rPr>
      </w:pPr>
    </w:p>
    <w:sectPr w:rsidR="006E28B9" w:rsidRPr="00F51AA3" w:rsidSect="00D04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E"/>
    <w:rsid w:val="001965FA"/>
    <w:rsid w:val="001A4BE9"/>
    <w:rsid w:val="001F7F40"/>
    <w:rsid w:val="0026214B"/>
    <w:rsid w:val="0026277E"/>
    <w:rsid w:val="00283F9D"/>
    <w:rsid w:val="0029157F"/>
    <w:rsid w:val="00292DFD"/>
    <w:rsid w:val="002E338D"/>
    <w:rsid w:val="003353E0"/>
    <w:rsid w:val="004473AB"/>
    <w:rsid w:val="005830A2"/>
    <w:rsid w:val="005A04E7"/>
    <w:rsid w:val="006E28B9"/>
    <w:rsid w:val="007B7C82"/>
    <w:rsid w:val="00845C88"/>
    <w:rsid w:val="008E5316"/>
    <w:rsid w:val="009831CC"/>
    <w:rsid w:val="00AD5305"/>
    <w:rsid w:val="00B146C5"/>
    <w:rsid w:val="00B462A8"/>
    <w:rsid w:val="00B769CB"/>
    <w:rsid w:val="00CD2529"/>
    <w:rsid w:val="00D0476E"/>
    <w:rsid w:val="00D20BE3"/>
    <w:rsid w:val="00D46AF6"/>
    <w:rsid w:val="00E814B9"/>
    <w:rsid w:val="00F26028"/>
    <w:rsid w:val="00F51AA3"/>
    <w:rsid w:val="00FE0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F202-FD8F-486F-AE0B-A7AA0DA0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6E"/>
    <w:pPr>
      <w:ind w:left="720"/>
      <w:contextualSpacing/>
    </w:pPr>
  </w:style>
  <w:style w:type="character" w:styleId="CommentReference">
    <w:name w:val="annotation reference"/>
    <w:basedOn w:val="DefaultParagraphFont"/>
    <w:uiPriority w:val="99"/>
    <w:semiHidden/>
    <w:unhideWhenUsed/>
    <w:rsid w:val="001F7F40"/>
    <w:rPr>
      <w:sz w:val="16"/>
      <w:szCs w:val="16"/>
    </w:rPr>
  </w:style>
  <w:style w:type="paragraph" w:styleId="CommentText">
    <w:name w:val="annotation text"/>
    <w:basedOn w:val="Normal"/>
    <w:link w:val="CommentTextChar"/>
    <w:uiPriority w:val="99"/>
    <w:semiHidden/>
    <w:unhideWhenUsed/>
    <w:rsid w:val="001F7F40"/>
    <w:pPr>
      <w:spacing w:line="240" w:lineRule="auto"/>
    </w:pPr>
    <w:rPr>
      <w:sz w:val="20"/>
      <w:szCs w:val="20"/>
    </w:rPr>
  </w:style>
  <w:style w:type="character" w:customStyle="1" w:styleId="CommentTextChar">
    <w:name w:val="Comment Text Char"/>
    <w:basedOn w:val="DefaultParagraphFont"/>
    <w:link w:val="CommentText"/>
    <w:uiPriority w:val="99"/>
    <w:semiHidden/>
    <w:rsid w:val="001F7F40"/>
    <w:rPr>
      <w:sz w:val="20"/>
      <w:szCs w:val="20"/>
    </w:rPr>
  </w:style>
  <w:style w:type="paragraph" w:styleId="CommentSubject">
    <w:name w:val="annotation subject"/>
    <w:basedOn w:val="CommentText"/>
    <w:next w:val="CommentText"/>
    <w:link w:val="CommentSubjectChar"/>
    <w:uiPriority w:val="99"/>
    <w:semiHidden/>
    <w:unhideWhenUsed/>
    <w:rsid w:val="001F7F40"/>
    <w:rPr>
      <w:b/>
      <w:bCs/>
    </w:rPr>
  </w:style>
  <w:style w:type="character" w:customStyle="1" w:styleId="CommentSubjectChar">
    <w:name w:val="Comment Subject Char"/>
    <w:basedOn w:val="CommentTextChar"/>
    <w:link w:val="CommentSubject"/>
    <w:uiPriority w:val="99"/>
    <w:semiHidden/>
    <w:rsid w:val="001F7F40"/>
    <w:rPr>
      <w:b/>
      <w:bCs/>
      <w:sz w:val="20"/>
      <w:szCs w:val="20"/>
    </w:rPr>
  </w:style>
  <w:style w:type="paragraph" w:styleId="BalloonText">
    <w:name w:val="Balloon Text"/>
    <w:basedOn w:val="Normal"/>
    <w:link w:val="BalloonTextChar"/>
    <w:uiPriority w:val="99"/>
    <w:semiHidden/>
    <w:unhideWhenUsed/>
    <w:rsid w:val="001F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691">
      <w:bodyDiv w:val="1"/>
      <w:marLeft w:val="0"/>
      <w:marRight w:val="0"/>
      <w:marTop w:val="0"/>
      <w:marBottom w:val="0"/>
      <w:divBdr>
        <w:top w:val="none" w:sz="0" w:space="0" w:color="auto"/>
        <w:left w:val="none" w:sz="0" w:space="0" w:color="auto"/>
        <w:bottom w:val="none" w:sz="0" w:space="0" w:color="auto"/>
        <w:right w:val="none" w:sz="0" w:space="0" w:color="auto"/>
      </w:divBdr>
    </w:div>
    <w:div w:id="161285383">
      <w:bodyDiv w:val="1"/>
      <w:marLeft w:val="0"/>
      <w:marRight w:val="0"/>
      <w:marTop w:val="0"/>
      <w:marBottom w:val="0"/>
      <w:divBdr>
        <w:top w:val="none" w:sz="0" w:space="0" w:color="auto"/>
        <w:left w:val="none" w:sz="0" w:space="0" w:color="auto"/>
        <w:bottom w:val="none" w:sz="0" w:space="0" w:color="auto"/>
        <w:right w:val="none" w:sz="0" w:space="0" w:color="auto"/>
      </w:divBdr>
    </w:div>
    <w:div w:id="527184737">
      <w:bodyDiv w:val="1"/>
      <w:marLeft w:val="0"/>
      <w:marRight w:val="0"/>
      <w:marTop w:val="0"/>
      <w:marBottom w:val="0"/>
      <w:divBdr>
        <w:top w:val="none" w:sz="0" w:space="0" w:color="auto"/>
        <w:left w:val="none" w:sz="0" w:space="0" w:color="auto"/>
        <w:bottom w:val="none" w:sz="0" w:space="0" w:color="auto"/>
        <w:right w:val="none" w:sz="0" w:space="0" w:color="auto"/>
      </w:divBdr>
    </w:div>
    <w:div w:id="598828464">
      <w:bodyDiv w:val="1"/>
      <w:marLeft w:val="0"/>
      <w:marRight w:val="0"/>
      <w:marTop w:val="0"/>
      <w:marBottom w:val="0"/>
      <w:divBdr>
        <w:top w:val="none" w:sz="0" w:space="0" w:color="auto"/>
        <w:left w:val="none" w:sz="0" w:space="0" w:color="auto"/>
        <w:bottom w:val="none" w:sz="0" w:space="0" w:color="auto"/>
        <w:right w:val="none" w:sz="0" w:space="0" w:color="auto"/>
      </w:divBdr>
    </w:div>
    <w:div w:id="1373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9BB7-7C13-4F7E-AFA9-7AE14B23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5673</Words>
  <Characters>3235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Vikmane</dc:creator>
  <cp:keywords/>
  <dc:description/>
  <cp:lastModifiedBy>Santa Vikmane</cp:lastModifiedBy>
  <cp:revision>7</cp:revision>
  <dcterms:created xsi:type="dcterms:W3CDTF">2019-01-11T09:23:00Z</dcterms:created>
  <dcterms:modified xsi:type="dcterms:W3CDTF">2019-03-26T08:58:00Z</dcterms:modified>
</cp:coreProperties>
</file>