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FD2" w:rsidRPr="00080D3E" w:rsidRDefault="00F628AE" w:rsidP="00227835">
      <w:pPr>
        <w:spacing w:before="60" w:after="60" w:line="240" w:lineRule="auto"/>
        <w:ind w:left="-1120"/>
        <w:rPr>
          <w:rFonts w:ascii="Arial" w:hAnsi="Arial" w:cs="Arial"/>
          <w:b/>
          <w:sz w:val="40"/>
          <w:szCs w:val="40"/>
        </w:rPr>
      </w:pPr>
      <w:bookmarkStart w:id="0" w:name="_Toc23514945"/>
      <w:bookmarkStart w:id="1" w:name="_Toc24027366"/>
      <w:r w:rsidRPr="00080D3E">
        <w:rPr>
          <w:rFonts w:ascii="Arial" w:hAnsi="Arial" w:cs="Arial"/>
          <w:b/>
          <w:sz w:val="40"/>
          <w:szCs w:val="40"/>
        </w:rPr>
        <w:t>Maksātnespējīgas AS “PNB Banka”</w:t>
      </w:r>
      <w:r w:rsidRPr="00080D3E">
        <w:rPr>
          <w:rFonts w:ascii="Arial" w:hAnsi="Arial" w:cs="Arial"/>
          <w:b/>
          <w:sz w:val="40"/>
          <w:szCs w:val="40"/>
        </w:rPr>
        <w:br/>
      </w:r>
      <w:r w:rsidR="00AF0FD2" w:rsidRPr="00080D3E">
        <w:rPr>
          <w:rFonts w:ascii="Arial" w:hAnsi="Arial" w:cs="Arial"/>
          <w:b/>
          <w:sz w:val="40"/>
          <w:szCs w:val="40"/>
        </w:rPr>
        <w:t>pakalpojumu tarifi</w:t>
      </w:r>
    </w:p>
    <w:p w:rsidR="001200E5" w:rsidRPr="00956446" w:rsidRDefault="004861D2" w:rsidP="00F263D9">
      <w:pPr>
        <w:spacing w:before="60" w:after="60" w:line="240" w:lineRule="auto"/>
        <w:ind w:left="-1120"/>
        <w:jc w:val="both"/>
        <w:rPr>
          <w:rFonts w:ascii="Arial" w:hAnsi="Arial" w:cs="Arial"/>
          <w:i/>
          <w:sz w:val="18"/>
          <w:szCs w:val="18"/>
        </w:rPr>
      </w:pPr>
      <w:r w:rsidRPr="004C58BE">
        <w:rPr>
          <w:rFonts w:ascii="Arial" w:hAnsi="Arial" w:cs="Arial"/>
          <w:i/>
          <w:sz w:val="18"/>
          <w:szCs w:val="18"/>
        </w:rPr>
        <w:t xml:space="preserve">Skaidrojums: </w:t>
      </w:r>
      <w:r w:rsidR="00DD5B35" w:rsidRPr="004C58BE">
        <w:rPr>
          <w:rFonts w:ascii="Arial" w:hAnsi="Arial" w:cs="Arial"/>
          <w:i/>
          <w:sz w:val="18"/>
          <w:szCs w:val="18"/>
        </w:rPr>
        <w:t>Latvijas Republikas (tālāk tekstā – LR)</w:t>
      </w:r>
      <w:r w:rsidRPr="004C58BE">
        <w:rPr>
          <w:rFonts w:ascii="Arial" w:hAnsi="Arial" w:cs="Arial"/>
          <w:i/>
          <w:sz w:val="18"/>
          <w:szCs w:val="18"/>
        </w:rPr>
        <w:t xml:space="preserve"> rezidentiem - </w:t>
      </w:r>
      <w:r w:rsidR="00DD5B35" w:rsidRPr="004C58BE">
        <w:rPr>
          <w:rFonts w:ascii="Arial" w:hAnsi="Arial" w:cs="Arial"/>
          <w:i/>
          <w:sz w:val="18"/>
          <w:szCs w:val="18"/>
        </w:rPr>
        <w:t>i</w:t>
      </w:r>
      <w:r w:rsidR="001200E5" w:rsidRPr="00956446">
        <w:rPr>
          <w:rFonts w:ascii="Arial" w:hAnsi="Arial" w:cs="Arial"/>
          <w:i/>
          <w:sz w:val="18"/>
          <w:szCs w:val="18"/>
        </w:rPr>
        <w:t>ndividuālā darba veicējiem</w:t>
      </w:r>
      <w:r w:rsidR="00DD5B35" w:rsidRPr="004C58BE">
        <w:rPr>
          <w:rFonts w:ascii="Arial" w:hAnsi="Arial" w:cs="Arial"/>
          <w:i/>
          <w:sz w:val="18"/>
          <w:szCs w:val="18"/>
        </w:rPr>
        <w:t>,</w:t>
      </w:r>
      <w:r w:rsidR="001200E5" w:rsidRPr="00956446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Pr="004C58BE">
        <w:rPr>
          <w:rFonts w:ascii="Arial" w:hAnsi="Arial" w:cs="Arial"/>
          <w:i/>
          <w:sz w:val="18"/>
          <w:szCs w:val="18"/>
        </w:rPr>
        <w:t>pa</w:t>
      </w:r>
      <w:r w:rsidR="001F4268">
        <w:rPr>
          <w:rFonts w:ascii="Arial" w:hAnsi="Arial" w:cs="Arial"/>
          <w:i/>
          <w:sz w:val="18"/>
          <w:szCs w:val="18"/>
        </w:rPr>
        <w:t>š</w:t>
      </w:r>
      <w:r w:rsidRPr="004C58BE">
        <w:rPr>
          <w:rFonts w:ascii="Arial" w:hAnsi="Arial" w:cs="Arial"/>
          <w:i/>
          <w:sz w:val="18"/>
          <w:szCs w:val="18"/>
        </w:rPr>
        <w:t>nodarbinātām</w:t>
      </w:r>
      <w:proofErr w:type="spellEnd"/>
      <w:r w:rsidRPr="004C58BE">
        <w:rPr>
          <w:rFonts w:ascii="Arial" w:hAnsi="Arial" w:cs="Arial"/>
          <w:i/>
          <w:sz w:val="18"/>
          <w:szCs w:val="18"/>
        </w:rPr>
        <w:t xml:space="preserve"> personām, </w:t>
      </w:r>
      <w:r w:rsidRPr="00DE7696">
        <w:rPr>
          <w:rFonts w:ascii="Arial" w:hAnsi="Arial" w:cs="Arial"/>
          <w:i/>
          <w:sz w:val="18"/>
          <w:szCs w:val="18"/>
        </w:rPr>
        <w:t>individu</w:t>
      </w:r>
      <w:r w:rsidR="00956446" w:rsidRPr="00DE7696">
        <w:rPr>
          <w:rFonts w:ascii="Arial" w:hAnsi="Arial" w:cs="Arial"/>
          <w:i/>
          <w:sz w:val="18"/>
          <w:szCs w:val="18"/>
        </w:rPr>
        <w:t xml:space="preserve">āliem komersantiem, nodibinājumiem, biedrībām un citiem </w:t>
      </w:r>
      <w:proofErr w:type="spellStart"/>
      <w:r w:rsidR="00956446" w:rsidRPr="00DE7696">
        <w:rPr>
          <w:rFonts w:ascii="Arial" w:hAnsi="Arial" w:cs="Arial"/>
          <w:i/>
          <w:sz w:val="18"/>
          <w:szCs w:val="18"/>
        </w:rPr>
        <w:t>pielidzināmiem</w:t>
      </w:r>
      <w:proofErr w:type="spellEnd"/>
      <w:r w:rsidR="00956446" w:rsidRPr="00DE7696">
        <w:rPr>
          <w:rFonts w:ascii="Arial" w:hAnsi="Arial" w:cs="Arial"/>
          <w:i/>
          <w:sz w:val="18"/>
          <w:szCs w:val="18"/>
        </w:rPr>
        <w:t xml:space="preserve"> veidojumiem, kā arī pašvaldību un valsts </w:t>
      </w:r>
      <w:r w:rsidR="0033779A" w:rsidRPr="00DE7696">
        <w:rPr>
          <w:rFonts w:ascii="Arial" w:hAnsi="Arial" w:cs="Arial"/>
          <w:i/>
          <w:sz w:val="18"/>
          <w:szCs w:val="18"/>
        </w:rPr>
        <w:t xml:space="preserve">institūcijām  un iestādēm </w:t>
      </w:r>
      <w:r w:rsidR="001200E5" w:rsidRPr="00DE7696">
        <w:rPr>
          <w:rFonts w:ascii="Arial" w:hAnsi="Arial" w:cs="Arial"/>
          <w:i/>
          <w:sz w:val="18"/>
          <w:szCs w:val="18"/>
        </w:rPr>
        <w:t>tiek piemēroti</w:t>
      </w:r>
      <w:r w:rsidR="001200E5" w:rsidRPr="00956446">
        <w:rPr>
          <w:rFonts w:ascii="Arial" w:hAnsi="Arial" w:cs="Arial"/>
          <w:i/>
          <w:sz w:val="18"/>
          <w:szCs w:val="18"/>
        </w:rPr>
        <w:t xml:space="preserve"> </w:t>
      </w:r>
      <w:r w:rsidR="00956446" w:rsidRPr="004C58BE">
        <w:rPr>
          <w:rFonts w:ascii="Arial" w:hAnsi="Arial" w:cs="Arial"/>
          <w:i/>
          <w:sz w:val="18"/>
          <w:szCs w:val="18"/>
        </w:rPr>
        <w:t xml:space="preserve">LR rezidentu - </w:t>
      </w:r>
      <w:r w:rsidR="001200E5" w:rsidRPr="00956446">
        <w:rPr>
          <w:rFonts w:ascii="Arial" w:hAnsi="Arial" w:cs="Arial"/>
          <w:i/>
          <w:sz w:val="18"/>
          <w:szCs w:val="18"/>
        </w:rPr>
        <w:t>juridisko personu tarifi.</w:t>
      </w:r>
    </w:p>
    <w:p w:rsidR="00956446" w:rsidRPr="004C58BE" w:rsidRDefault="00956446" w:rsidP="00227835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</w:p>
    <w:p w:rsidR="001200E5" w:rsidRPr="00080D3E" w:rsidRDefault="001200E5" w:rsidP="00227835">
      <w:pPr>
        <w:spacing w:before="60" w:after="60" w:line="240" w:lineRule="auto"/>
        <w:ind w:left="-1120"/>
        <w:rPr>
          <w:rFonts w:ascii="Arial" w:hAnsi="Arial" w:cs="Arial"/>
          <w:i/>
          <w:sz w:val="18"/>
          <w:szCs w:val="18"/>
        </w:rPr>
      </w:pPr>
      <w:r w:rsidRPr="00956446">
        <w:rPr>
          <w:rFonts w:ascii="Arial" w:hAnsi="Arial" w:cs="Arial"/>
          <w:i/>
          <w:sz w:val="18"/>
          <w:szCs w:val="18"/>
        </w:rPr>
        <w:t xml:space="preserve">Par </w:t>
      </w:r>
      <w:proofErr w:type="spellStart"/>
      <w:r w:rsidRPr="00956446">
        <w:rPr>
          <w:rFonts w:ascii="Arial" w:hAnsi="Arial" w:cs="Arial"/>
          <w:i/>
          <w:sz w:val="18"/>
          <w:szCs w:val="18"/>
        </w:rPr>
        <w:t>nefinanšu</w:t>
      </w:r>
      <w:proofErr w:type="spellEnd"/>
      <w:r w:rsidRPr="00956446">
        <w:rPr>
          <w:rFonts w:ascii="Arial" w:hAnsi="Arial" w:cs="Arial"/>
          <w:i/>
          <w:sz w:val="18"/>
          <w:szCs w:val="18"/>
        </w:rPr>
        <w:t xml:space="preserve"> pakalpojumiem, kas nav minēti šajā dokumentā, pakalpojumu maksas tiek noteiktas vienojoties.</w:t>
      </w:r>
    </w:p>
    <w:sdt>
      <w:sdtPr>
        <w:rPr>
          <w:rFonts w:ascii="Arial" w:eastAsiaTheme="minorHAnsi" w:hAnsi="Arial" w:cs="Arial"/>
          <w:color w:val="auto"/>
          <w:sz w:val="18"/>
          <w:szCs w:val="18"/>
          <w:lang w:val="lv-LV"/>
        </w:rPr>
        <w:id w:val="777075066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:rsidR="00AF0FD2" w:rsidRPr="00080D3E" w:rsidRDefault="00AF0FD2" w:rsidP="00382E84">
          <w:pPr>
            <w:pStyle w:val="TOCHeading"/>
            <w:spacing w:before="0" w:line="240" w:lineRule="auto"/>
            <w:ind w:left="-1106"/>
            <w:rPr>
              <w:rFonts w:ascii="Arial" w:hAnsi="Arial" w:cs="Arial"/>
              <w:color w:val="auto"/>
              <w:sz w:val="18"/>
              <w:szCs w:val="18"/>
            </w:rPr>
          </w:pPr>
        </w:p>
        <w:p w:rsidR="00382E84" w:rsidRPr="004763DC" w:rsidRDefault="00AF0FD2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fldChar w:fldCharType="begin"/>
          </w: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instrText xml:space="preserve"> TOC \o "1-3" \h \z \u </w:instrText>
          </w: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fldChar w:fldCharType="separate"/>
          </w:r>
          <w:hyperlink w:anchor="_Toc32920999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Vērtspapīru un finanšu instrumentu konti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</w:hyperlink>
          <w:r w:rsidR="00382E2E"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:rsidR="00382E84" w:rsidRPr="004763DC" w:rsidRDefault="004D1DEE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1000" w:history="1"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 xml:space="preserve">Finanšu instrumentu </w:t>
            </w:r>
            <w:r w:rsidR="00044EFD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 xml:space="preserve">piespiedu </w:t>
            </w:r>
            <w:r w:rsidR="00382E84" w:rsidRPr="004763DC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pārdošana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_Toc32921000 \h </w:instrTex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>2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382E84" w:rsidRPr="004763DC" w:rsidRDefault="004D1DEE" w:rsidP="00BF6C83">
          <w:pPr>
            <w:pStyle w:val="TOC1"/>
            <w:rPr>
              <w:rFonts w:ascii="Arial" w:eastAsiaTheme="minorEastAsia" w:hAnsi="Arial" w:cs="Arial"/>
              <w:noProof/>
              <w:sz w:val="20"/>
              <w:szCs w:val="20"/>
              <w:lang w:eastAsia="lv-LV"/>
            </w:rPr>
          </w:pPr>
          <w:hyperlink w:anchor="_Toc32921001" w:history="1">
            <w:r w:rsidR="00F872C3">
              <w:rPr>
                <w:rStyle w:val="Hyperlink"/>
                <w:rFonts w:ascii="Arial" w:hAnsi="Arial" w:cs="Arial"/>
                <w:noProof/>
                <w:sz w:val="20"/>
                <w:szCs w:val="20"/>
              </w:rPr>
              <w:t>Citi pakalpojumi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ab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begin"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instrText xml:space="preserve"> PAGEREF _Toc32921001 \h </w:instrTex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separate"/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t>3</w:t>
            </w:r>
            <w:r w:rsidR="00382E84" w:rsidRPr="004763DC">
              <w:rPr>
                <w:rFonts w:ascii="Arial" w:hAnsi="Arial" w:cs="Arial"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AF0FD2" w:rsidRPr="00080D3E" w:rsidRDefault="00AF0FD2" w:rsidP="00382E84">
          <w:pPr>
            <w:spacing w:after="0" w:line="240" w:lineRule="auto"/>
            <w:rPr>
              <w:rFonts w:ascii="Arial" w:hAnsi="Arial" w:cs="Arial"/>
              <w:bCs/>
              <w:noProof/>
              <w:sz w:val="18"/>
              <w:szCs w:val="18"/>
            </w:rPr>
          </w:pPr>
          <w:r w:rsidRPr="004763DC">
            <w:rPr>
              <w:rFonts w:ascii="Arial" w:hAnsi="Arial" w:cs="Arial"/>
              <w:bCs/>
              <w:noProof/>
              <w:sz w:val="20"/>
              <w:szCs w:val="20"/>
            </w:rPr>
            <w:fldChar w:fldCharType="end"/>
          </w:r>
        </w:p>
      </w:sdtContent>
    </w:sdt>
    <w:p w:rsidR="003579C0" w:rsidRPr="00080D3E" w:rsidRDefault="003579C0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2" w:name="_Toc30684861"/>
      <w:bookmarkStart w:id="3" w:name="_Toc32920999"/>
      <w:bookmarkEnd w:id="0"/>
      <w:bookmarkEnd w:id="1"/>
      <w:r w:rsidRPr="00080D3E">
        <w:rPr>
          <w:rFonts w:ascii="Arial" w:hAnsi="Arial" w:cs="Arial"/>
          <w:b/>
          <w:color w:val="auto"/>
          <w:sz w:val="28"/>
          <w:szCs w:val="28"/>
        </w:rPr>
        <w:t>Vērtspapīru un finanšu instrumentu konti</w:t>
      </w:r>
      <w:bookmarkEnd w:id="2"/>
      <w:bookmarkEnd w:id="3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:rsidTr="006C5B15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single" w:sz="4" w:space="0" w:color="0070C0"/>
            </w:tcBorders>
          </w:tcPr>
          <w:p w:rsidR="00445186" w:rsidRPr="00592882" w:rsidRDefault="00F204B1" w:rsidP="00227835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592882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Finanšu instrumentu pārvedums no </w:t>
            </w:r>
            <w:proofErr w:type="spellStart"/>
            <w:r w:rsidR="00C67801" w:rsidRPr="00592882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>maksātnespējībās</w:t>
            </w:r>
            <w:proofErr w:type="spellEnd"/>
            <w:r w:rsidR="00C67801" w:rsidRPr="00592882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 </w:t>
            </w:r>
            <w:r w:rsidRPr="00592882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>PNB Bankas</w:t>
            </w:r>
            <w:r w:rsidR="00F674D4" w:rsidRPr="00592882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>:</w:t>
            </w:r>
          </w:p>
          <w:p w:rsidR="00445186" w:rsidRPr="00382E2E" w:rsidRDefault="00082414" w:rsidP="00382E2E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finanšu instrumenti, </w:t>
            </w:r>
            <w:r w:rsidR="002F16A7"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kas </w:t>
            </w:r>
            <w:r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>re</w:t>
            </w:r>
            <w:r w:rsidR="00C67801" w:rsidRPr="00592882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>ģ</w:t>
            </w:r>
            <w:r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istrēti </w:t>
            </w:r>
            <w:r w:rsidR="00586DC7"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 </w:t>
            </w:r>
            <w:r w:rsidR="00445186"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 xml:space="preserve">NASDAQ CSD SE </w:t>
            </w:r>
          </w:p>
          <w:p w:rsidR="00C67801" w:rsidRPr="00592882" w:rsidRDefault="00C67801" w:rsidP="00382E2E">
            <w:pPr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</w:p>
          <w:p w:rsidR="00C67801" w:rsidRPr="00382E2E" w:rsidRDefault="00C67801" w:rsidP="00382E2E">
            <w:pPr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</w:p>
          <w:p w:rsidR="00F674D4" w:rsidRPr="00382E2E" w:rsidRDefault="00082414" w:rsidP="00382E2E">
            <w:pPr>
              <w:pStyle w:val="ListParagraph"/>
              <w:numPr>
                <w:ilvl w:val="0"/>
                <w:numId w:val="25"/>
              </w:num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382E2E"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  <w:t>citi finanšu instrumenti</w:t>
            </w:r>
          </w:p>
          <w:p w:rsidR="00F674D4" w:rsidRPr="00382E2E" w:rsidDel="003C5AA5" w:rsidRDefault="00F674D4" w:rsidP="00227835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C67801" w:rsidRDefault="00C6780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:rsidR="00C67801" w:rsidRDefault="00C67801" w:rsidP="00382E2E">
            <w:pPr>
              <w:spacing w:before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:rsidR="00F674D4" w:rsidRDefault="00F674D4" w:rsidP="00382E2E">
            <w:pPr>
              <w:spacing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 </w:t>
            </w:r>
          </w:p>
          <w:p w:rsidR="00F674D4" w:rsidRDefault="00F674D4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fiziskām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un jurid</w:t>
            </w:r>
            <w:r w:rsid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kām personām palika nemainīgs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:rsidR="00F204B1" w:rsidRDefault="00F204B1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sz w:val="18"/>
                <w:szCs w:val="18"/>
              </w:rPr>
              <w:t>1</w:t>
            </w:r>
            <w:r w:rsidR="0094540C">
              <w:rPr>
                <w:rFonts w:ascii="Arial" w:hAnsi="Arial" w:cs="Arial"/>
                <w:sz w:val="18"/>
                <w:szCs w:val="18"/>
              </w:rPr>
              <w:t>.5</w:t>
            </w:r>
            <w:r w:rsidRPr="00080D3E">
              <w:rPr>
                <w:rFonts w:ascii="Arial" w:hAnsi="Arial" w:cs="Arial"/>
                <w:sz w:val="18"/>
                <w:szCs w:val="18"/>
              </w:rPr>
              <w:t xml:space="preserve">% 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>no tirgus vērtības (min</w:t>
            </w:r>
            <w:r w:rsidR="00382E2E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080D3E">
              <w:rPr>
                <w:rFonts w:ascii="Arial" w:hAnsi="Arial" w:cs="Arial"/>
                <w:i/>
                <w:sz w:val="18"/>
                <w:szCs w:val="18"/>
              </w:rPr>
              <w:t xml:space="preserve"> EUR 100)</w:t>
            </w:r>
          </w:p>
          <w:p w:rsidR="0094540C" w:rsidRPr="00382E2E" w:rsidRDefault="0094540C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personām stāsies spēkā </w:t>
            </w:r>
            <w:r w:rsidR="00586DC7"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1</w:t>
            </w:r>
            <w:r w:rsidR="004D1DEE"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.05.2020.</w:t>
            </w:r>
          </w:p>
          <w:p w:rsidR="00F204B1" w:rsidRPr="00080D3E" w:rsidRDefault="0094540C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01.04.2020.</w:t>
            </w:r>
          </w:p>
        </w:tc>
      </w:tr>
      <w:tr w:rsidR="00F204B1" w:rsidRPr="00080D3E" w:rsidTr="006C5B15">
        <w:tc>
          <w:tcPr>
            <w:tcW w:w="5954" w:type="dxa"/>
          </w:tcPr>
          <w:p w:rsidR="00F204B1" w:rsidRPr="00080D3E" w:rsidRDefault="00E27C07">
            <w:pPr>
              <w:spacing w:before="60" w:after="60"/>
              <w:rPr>
                <w:rFonts w:ascii="Arial" w:eastAsia="Times New Roman" w:hAnsi="Arial" w:cs="Arial"/>
                <w:bCs/>
                <w:color w:val="222222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Ārvalstu </w:t>
            </w:r>
            <w:r w:rsidR="002F16A7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emitentu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inanšu instrumentu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gl</w:t>
            </w:r>
            <w:r w:rsidR="00C6780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</w:t>
            </w:r>
            <w:r w:rsidR="00C6780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šana</w:t>
            </w:r>
            <w:r w:rsidR="00F204B1" w:rsidRPr="00080D3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1"/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0.02%</w:t>
            </w:r>
            <w:r w:rsidR="00C6780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mēnesī </w:t>
            </w:r>
            <w:r w:rsidR="00C6780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no bilances vērtības uz mēneša beigām</w:t>
            </w:r>
            <w:r w:rsidR="00C6780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min EUR 1</w:t>
            </w:r>
            <w:r w:rsidR="00C6780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mēnesī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2074B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Obligāciju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, kuru emitenti atrodas bankrota stadijā (</w:t>
            </w:r>
            <w:proofErr w:type="spellStart"/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defaulted</w:t>
            </w:r>
            <w:proofErr w:type="spellEnd"/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glabašana</w:t>
            </w:r>
            <w:proofErr w:type="spellEnd"/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0.005%</w:t>
            </w:r>
            <w:r w:rsidR="00C67801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592882" w:rsidRPr="00382E2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mēnesī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nomināl</w:t>
            </w:r>
            <w:r w:rsidR="00592882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ās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 xml:space="preserve"> vērtības (min EUR 15 par katru ISIN kodu)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nil"/>
            </w:tcBorders>
          </w:tcPr>
          <w:p w:rsidR="00F204B1" w:rsidRPr="00080D3E" w:rsidRDefault="002074B1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Latvijas Republikas emitentu f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inanšu instrumentu 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gl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</w:t>
            </w: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šana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: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F2F2F2" w:themeFill="background1" w:themeFillShade="F2"/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sz w:val="18"/>
                <w:szCs w:val="18"/>
              </w:rPr>
              <w:t>-</w:t>
            </w:r>
          </w:p>
        </w:tc>
      </w:tr>
      <w:tr w:rsidR="00F204B1" w:rsidRPr="00080D3E" w:rsidTr="006C5B15">
        <w:tc>
          <w:tcPr>
            <w:tcW w:w="5954" w:type="dxa"/>
            <w:tcBorders>
              <w:top w:val="nil"/>
              <w:bottom w:val="nil"/>
            </w:tcBorders>
          </w:tcPr>
          <w:p w:rsidR="00F204B1" w:rsidRPr="00080D3E" w:rsidRDefault="00F204B1">
            <w:pPr>
              <w:pStyle w:val="ListParagraph"/>
              <w:numPr>
                <w:ilvl w:val="0"/>
                <w:numId w:val="21"/>
              </w:numPr>
              <w:spacing w:before="60" w:after="60"/>
              <w:ind w:left="175" w:hanging="142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akcijas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+ 0.008%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mēnesī (</w:t>
            </w:r>
            <w:r w:rsidR="00592882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no bilances vērtības uz mēneša beigām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top w:val="nil"/>
              <w:bottom w:val="nil"/>
            </w:tcBorders>
          </w:tcPr>
          <w:p w:rsidR="00F204B1" w:rsidRPr="00080D3E" w:rsidRDefault="00F204B1">
            <w:pPr>
              <w:pStyle w:val="ListParagraph"/>
              <w:numPr>
                <w:ilvl w:val="0"/>
                <w:numId w:val="21"/>
              </w:numPr>
              <w:spacing w:before="60" w:after="60"/>
              <w:ind w:left="175" w:hanging="142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valsts parādzīmes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+ 0.002%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mēnesī (</w:t>
            </w:r>
            <w:r w:rsidR="00592882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no bilances vērtības uz mēneša beigām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top w:val="nil"/>
              <w:bottom w:val="nil"/>
            </w:tcBorders>
          </w:tcPr>
          <w:p w:rsidR="00F204B1" w:rsidRPr="00080D3E" w:rsidRDefault="00F204B1">
            <w:pPr>
              <w:pStyle w:val="ListParagraph"/>
              <w:numPr>
                <w:ilvl w:val="0"/>
                <w:numId w:val="21"/>
              </w:numPr>
              <w:spacing w:before="60" w:after="60"/>
              <w:ind w:left="175" w:hanging="142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citu  emitentu parādzīmes</w:t>
            </w: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 + 0.005%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mēnesī (</w:t>
            </w:r>
            <w:r w:rsidR="00592882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no bilances vērtības uz mēneša beigām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)</w:t>
            </w:r>
          </w:p>
          <w:p w:rsidR="00F204B1" w:rsidRPr="00080D3E" w:rsidRDefault="00CC1B37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fiziskām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un jurid</w:t>
            </w:r>
            <w:r w:rsid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>is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kām personām palika nemainīgs </w:t>
            </w:r>
            <w:r w:rsidRPr="00080D3E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</w:tc>
      </w:tr>
      <w:tr w:rsidR="00F204B1" w:rsidRPr="00080D3E" w:rsidTr="006C5B15">
        <w:tc>
          <w:tcPr>
            <w:tcW w:w="5954" w:type="dxa"/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Kontu izraksts </w:t>
            </w:r>
            <w:r w:rsidRPr="00080D3E">
              <w:rPr>
                <w:rFonts w:ascii="Arial" w:eastAsia="Times New Roman" w:hAnsi="Arial" w:cs="Arial"/>
                <w:i/>
                <w:iCs/>
                <w:color w:val="222222"/>
                <w:spacing w:val="8"/>
                <w:sz w:val="18"/>
                <w:szCs w:val="18"/>
                <w:lang w:eastAsia="lv-LV"/>
              </w:rPr>
              <w:t>Internetbankā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Darījuma apstiprinājums </w:t>
            </w:r>
            <w:r w:rsidRPr="00080D3E">
              <w:rPr>
                <w:rFonts w:ascii="Arial" w:eastAsia="Times New Roman" w:hAnsi="Arial" w:cs="Arial"/>
                <w:i/>
                <w:iCs/>
                <w:color w:val="222222"/>
                <w:spacing w:val="8"/>
                <w:sz w:val="18"/>
                <w:szCs w:val="18"/>
                <w:lang w:eastAsia="lv-LV"/>
              </w:rPr>
              <w:t>Internetbankā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Ārpusbilances 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naudas 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konta izraksts (konts paredzēts kuponu, dividenžu un citu līdzekļu</w:t>
            </w:r>
            <w:r w:rsidR="004A7E8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pēc korporatīviem notikumiem</w:t>
            </w:r>
            <w:r w:rsidR="004A7E8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,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saņemšanai)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bez maksas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Akciju bloķēšana akcionāru sapulcei (ārvalstu emitentiem)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 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Piedalīšanās korporatīvos notikumos (parakstīšanās uz jaunām obligācijām/ akciju tiesībām u.tml.)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50 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Kuponu maksājumu ieskaitīšanas, vērtspapīru izpirkšana, vērtspapīru dzēšana </w:t>
            </w:r>
            <w:r w:rsidRPr="00080D3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2"/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25 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single" w:sz="4" w:space="0" w:color="0070C0"/>
            </w:tcBorders>
          </w:tcPr>
          <w:p w:rsidR="00F204B1" w:rsidRDefault="005318C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Darbības ar 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obligācijām, kuru emisija ir reģistrēta ASV:</w:t>
            </w:r>
          </w:p>
          <w:p w:rsidR="00592882" w:rsidRPr="00382E2E" w:rsidRDefault="00592882" w:rsidP="00382E2E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382E2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W-8BEN, W-8BEN-E iesniegšana un noformēšana</w:t>
            </w:r>
          </w:p>
          <w:p w:rsidR="00592882" w:rsidRDefault="0059288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:rsidR="00592882" w:rsidRPr="00382E2E" w:rsidRDefault="0059288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:rsidR="00592882" w:rsidRPr="00382E2E" w:rsidRDefault="00592882" w:rsidP="00382E2E">
            <w:pPr>
              <w:pStyle w:val="ListParagraph"/>
              <w:numPr>
                <w:ilvl w:val="0"/>
                <w:numId w:val="27"/>
              </w:num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kupona maksājuma ieskaitīšana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592882" w:rsidRDefault="00592882" w:rsidP="00592882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</w:p>
          <w:p w:rsidR="00592882" w:rsidRDefault="00592882" w:rsidP="0059288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100 </w:t>
            </w:r>
          </w:p>
          <w:p w:rsidR="000328DF" w:rsidRDefault="000328DF" w:rsidP="00592882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  <w:p w:rsidR="00592882" w:rsidRDefault="00592882" w:rsidP="0059288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150 </w:t>
            </w:r>
          </w:p>
          <w:p w:rsidR="00F204B1" w:rsidRPr="00080D3E" w:rsidRDefault="000328DF" w:rsidP="00592882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Dokumentu pārsūtīšana pa pastu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faktiskās izmaksas</w:t>
            </w:r>
          </w:p>
          <w:p w:rsidR="00F204B1" w:rsidRPr="00080D3E" w:rsidRDefault="00CC1B37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CC1B3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</w:t>
            </w:r>
            <w:proofErr w:type="spellStart"/>
            <w:r w:rsidRPr="00CC1B37">
              <w:rPr>
                <w:rFonts w:ascii="Arial" w:hAnsi="Arial" w:cs="Arial"/>
                <w:i/>
                <w:color w:val="FF0000"/>
                <w:sz w:val="18"/>
                <w:szCs w:val="18"/>
              </w:rPr>
              <w:t>juridsikām</w:t>
            </w:r>
            <w:proofErr w:type="spellEnd"/>
            <w:r w:rsidRPr="00CC1B37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 personām palika nemainīgs  </w:t>
            </w:r>
          </w:p>
        </w:tc>
      </w:tr>
      <w:tr w:rsidR="00F204B1" w:rsidRPr="00080D3E" w:rsidTr="006C5B15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5318CA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P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ārvedums no klienta ārpusbilances </w:t>
            </w:r>
            <w:r w:rsidR="00592882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naudas</w:t>
            </w:r>
            <w:r w:rsidR="00592882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F204B1"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konta (konts paredzēts kuponu, dividenžu un citu līdzekļu pēc korporatīviem notikumiem saņemšanai)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b/>
                <w:bCs/>
                <w:i/>
                <w:color w:val="FF0000"/>
                <w:spacing w:val="8"/>
                <w:sz w:val="18"/>
                <w:szCs w:val="18"/>
                <w:shd w:val="clear" w:color="auto" w:fill="F4F6FC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 10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+ faktiskās izmaksas</w:t>
            </w:r>
          </w:p>
          <w:p w:rsidR="00082414" w:rsidRPr="00382E2E" w:rsidRDefault="00082414" w:rsidP="0008241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fiziskām personām stāsies spēkā 1</w:t>
            </w:r>
            <w:r w:rsidR="004D1DEE"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.05.2020.</w:t>
            </w:r>
          </w:p>
          <w:p w:rsidR="00F204B1" w:rsidRPr="005B2F90" w:rsidRDefault="00082414" w:rsidP="00082414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01.04.2020.</w:t>
            </w:r>
          </w:p>
        </w:tc>
      </w:tr>
      <w:tr w:rsidR="006C5B15" w:rsidRPr="00227835" w:rsidTr="006C5B15">
        <w:tc>
          <w:tcPr>
            <w:tcW w:w="5954" w:type="dxa"/>
          </w:tcPr>
          <w:p w:rsidR="006C5B15" w:rsidRPr="007B66EC" w:rsidRDefault="006C5B15" w:rsidP="000B500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bookmarkStart w:id="4" w:name="_Toc30684862"/>
            <w:bookmarkStart w:id="5" w:name="_Toc32921000"/>
            <w:r w:rsidRPr="007B66E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Nestandarta dokumentu sagatavošana pēc klienta pieprasījuma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6C5B15" w:rsidRDefault="005B2F90" w:rsidP="000B5005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EUR 125</w:t>
            </w:r>
            <w:r w:rsidR="006C5B15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, t.sk. PVN,</w:t>
            </w:r>
            <w:r w:rsidR="006C5B15" w:rsidRPr="007B66EC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 </w:t>
            </w:r>
            <w:r w:rsidR="006C5B15" w:rsidRPr="007B66EC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dokumentu</w:t>
            </w:r>
          </w:p>
          <w:p w:rsidR="005B2F90" w:rsidRPr="00382E2E" w:rsidRDefault="005B2F90" w:rsidP="005B2F90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fiziskām personām stāsies spēkā 1</w:t>
            </w:r>
            <w:r w:rsidR="004D1DEE">
              <w:rPr>
                <w:rFonts w:ascii="Arial" w:hAnsi="Arial" w:cs="Arial"/>
                <w:i/>
                <w:color w:val="FF0000"/>
                <w:sz w:val="18"/>
                <w:szCs w:val="18"/>
              </w:rPr>
              <w:t>9</w:t>
            </w: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.05.2020.</w:t>
            </w:r>
          </w:p>
          <w:p w:rsidR="005318CA" w:rsidRPr="006C5B15" w:rsidRDefault="005B2F90" w:rsidP="005B2F90">
            <w:pPr>
              <w:spacing w:before="60" w:after="60"/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</w:pPr>
            <w:r w:rsidRPr="00382E2E">
              <w:rPr>
                <w:rFonts w:ascii="Arial" w:hAnsi="Arial" w:cs="Arial"/>
                <w:i/>
                <w:color w:val="FF0000"/>
                <w:sz w:val="18"/>
                <w:szCs w:val="18"/>
              </w:rPr>
              <w:t>Tarifs juridiskām personām stāsies spēkā 01.04.2020.</w:t>
            </w:r>
          </w:p>
        </w:tc>
      </w:tr>
    </w:tbl>
    <w:p w:rsidR="003579C0" w:rsidRPr="00080D3E" w:rsidRDefault="003579C0" w:rsidP="00227835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r w:rsidRPr="00080D3E">
        <w:rPr>
          <w:rFonts w:ascii="Arial" w:hAnsi="Arial" w:cs="Arial"/>
          <w:b/>
          <w:color w:val="auto"/>
          <w:sz w:val="28"/>
          <w:szCs w:val="28"/>
        </w:rPr>
        <w:t xml:space="preserve">Finanšu instrumentu </w:t>
      </w:r>
      <w:r w:rsidR="00082414">
        <w:rPr>
          <w:rFonts w:ascii="Arial" w:hAnsi="Arial" w:cs="Arial"/>
          <w:b/>
          <w:color w:val="auto"/>
          <w:sz w:val="28"/>
          <w:szCs w:val="28"/>
        </w:rPr>
        <w:t xml:space="preserve">piespiedu </w:t>
      </w:r>
      <w:r w:rsidRPr="00080D3E">
        <w:rPr>
          <w:rFonts w:ascii="Arial" w:hAnsi="Arial" w:cs="Arial"/>
          <w:b/>
          <w:color w:val="auto"/>
          <w:sz w:val="28"/>
          <w:szCs w:val="28"/>
        </w:rPr>
        <w:t>pārdošana</w:t>
      </w:r>
      <w:bookmarkEnd w:id="4"/>
      <w:bookmarkEnd w:id="5"/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Akcijas</w:t>
            </w:r>
            <w:r w:rsidRPr="00080D3E" w:rsidDel="00DB0611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204B1" w:rsidRPr="00080D3E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Birža/Valsts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>T</w:t>
            </w:r>
            <w:proofErr w:type="spellStart"/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proofErr w:type="spellEnd"/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Del="003C5AA5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Maskavas Birža/Krievija </w:t>
            </w:r>
            <w:r w:rsidRPr="00080D3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3"/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RUB 750)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C37E34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RTS/Krievija 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USD 50)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LSE IOB/Lielbritānija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USD 35)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lastRenderedPageBreak/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proofErr w:type="spellStart"/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lastRenderedPageBreak/>
              <w:t>Xetra</w:t>
            </w:r>
            <w:proofErr w:type="spellEnd"/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/Vācija </w:t>
            </w:r>
            <w:r w:rsidRPr="00080D3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4"/>
            </w:r>
          </w:p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Euronext/Francija </w:t>
            </w: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vertAlign w:val="superscript"/>
                <w:lang w:eastAsia="lv-LV"/>
              </w:rPr>
              <w:t>6</w:t>
            </w:r>
          </w:p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Nasdaq OMX/Somija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komisija par darījumu EUR 25)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Nasdaq OMX Rīga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EUR 5.70)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Tiešais darījums Nasdaq OMX Riga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EUR 5.70)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ASX/Austrālija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0.35%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AUD 45)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Toronto/Kanāda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0.40%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CAD 40)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NYSE, Nasdaq/ASV </w:t>
            </w:r>
            <w:r w:rsidRPr="00080D3E">
              <w:rPr>
                <w:rStyle w:val="FootnoteReference"/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footnoteReference w:id="5"/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USD 0.025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par akciju (min par darījumu USD 35)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</w:tbl>
    <w:p w:rsidR="001F28CF" w:rsidRPr="00080D3E" w:rsidRDefault="001F28CF" w:rsidP="00227835">
      <w:pPr>
        <w:spacing w:before="60" w:after="6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498" w:type="dxa"/>
        <w:tblInd w:w="-113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54"/>
        <w:gridCol w:w="3544"/>
      </w:tblGrid>
      <w:tr w:rsidR="00F204B1" w:rsidRPr="00080D3E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B3467B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Obligācijas </w:t>
            </w:r>
            <w:r w:rsidRPr="00080D3E">
              <w:rPr>
                <w:rStyle w:val="FootnoteReference"/>
                <w:rFonts w:ascii="Arial" w:hAnsi="Arial" w:cs="Arial"/>
                <w:b/>
                <w:color w:val="FFFFFF" w:themeColor="background1"/>
                <w:sz w:val="18"/>
                <w:szCs w:val="18"/>
              </w:rPr>
              <w:footnoteReference w:id="6"/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227835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F204B1" w:rsidRPr="00080D3E" w:rsidTr="009C5220">
        <w:trPr>
          <w:tblHeader/>
        </w:trPr>
        <w:tc>
          <w:tcPr>
            <w:tcW w:w="595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ozīcija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0070C0"/>
            <w:vAlign w:val="center"/>
          </w:tcPr>
          <w:p w:rsidR="00F204B1" w:rsidRPr="00080D3E" w:rsidRDefault="00F204B1" w:rsidP="00DB0611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</w:t>
            </w:r>
            <w:r w:rsidRPr="00080D3E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tarif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i</w:t>
            </w:r>
            <w:proofErr w:type="spellEnd"/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Ārvalstu valsts obligācijas</w:t>
            </w:r>
          </w:p>
          <w:p w:rsidR="00F204B1" w:rsidRPr="00080D3E" w:rsidDel="003C5AA5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Ārvalstu korporatīvās obligācijas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USD 40 /EUR 35/CHF 40)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Krievijas eiroobligācijas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USD 40)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Krievijas korporatīvas obligācijas, nominētas rubļos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0.20%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RUB 1400)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  <w:tr w:rsidR="00F204B1" w:rsidRPr="00080D3E" w:rsidTr="009C5220">
        <w:tc>
          <w:tcPr>
            <w:tcW w:w="5954" w:type="dxa"/>
            <w:tcBorders>
              <w:bottom w:val="single" w:sz="4" w:space="0" w:color="0070C0"/>
            </w:tcBorders>
          </w:tcPr>
          <w:p w:rsidR="00F204B1" w:rsidRPr="00080D3E" w:rsidRDefault="00F204B1" w:rsidP="00227835">
            <w:pPr>
              <w:spacing w:before="60" w:after="60"/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>Latvijas obligācijas</w:t>
            </w:r>
          </w:p>
        </w:tc>
        <w:tc>
          <w:tcPr>
            <w:tcW w:w="3544" w:type="dxa"/>
            <w:tcBorders>
              <w:bottom w:val="single" w:sz="4" w:space="0" w:color="0070C0"/>
            </w:tcBorders>
            <w:shd w:val="clear" w:color="auto" w:fill="F2F2F2" w:themeFill="background1" w:themeFillShade="F2"/>
          </w:tcPr>
          <w:p w:rsidR="00F204B1" w:rsidRDefault="00F204B1" w:rsidP="00227835">
            <w:pPr>
              <w:spacing w:before="60" w:after="6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080D3E">
              <w:rPr>
                <w:rFonts w:ascii="Arial" w:eastAsia="Times New Roman" w:hAnsi="Arial" w:cs="Arial"/>
                <w:color w:val="222222"/>
                <w:spacing w:val="8"/>
                <w:sz w:val="18"/>
                <w:szCs w:val="18"/>
                <w:lang w:eastAsia="lv-LV"/>
              </w:rPr>
              <w:t xml:space="preserve">0.10% </w:t>
            </w:r>
            <w:r w:rsidRPr="00080D3E">
              <w:rPr>
                <w:rFonts w:ascii="Arial" w:eastAsia="Times New Roman" w:hAnsi="Arial" w:cs="Arial"/>
                <w:i/>
                <w:color w:val="222222"/>
                <w:spacing w:val="8"/>
                <w:sz w:val="18"/>
                <w:szCs w:val="18"/>
                <w:lang w:eastAsia="lv-LV"/>
              </w:rPr>
              <w:t>no darījuma summas (min par darījumu EUR 10)</w:t>
            </w:r>
          </w:p>
          <w:p w:rsidR="00F204B1" w:rsidRPr="00080D3E" w:rsidRDefault="000328DF" w:rsidP="001D3F1F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fiziskām un juridiskām personām palika nemainīgs  </w:t>
            </w:r>
          </w:p>
        </w:tc>
      </w:tr>
    </w:tbl>
    <w:p w:rsidR="00A73113" w:rsidRDefault="00A73113" w:rsidP="00703F3F">
      <w:pPr>
        <w:pStyle w:val="Heading1"/>
        <w:spacing w:before="60" w:after="60" w:line="240" w:lineRule="auto"/>
        <w:rPr>
          <w:rFonts w:ascii="Arial" w:hAnsi="Arial" w:cs="Arial"/>
          <w:sz w:val="18"/>
          <w:szCs w:val="18"/>
        </w:rPr>
      </w:pPr>
    </w:p>
    <w:p w:rsidR="00E46393" w:rsidRPr="00E46393" w:rsidRDefault="00E46393" w:rsidP="00E46393">
      <w:pPr>
        <w:pStyle w:val="Heading1"/>
        <w:spacing w:before="60" w:after="60" w:line="240" w:lineRule="auto"/>
        <w:ind w:left="-1134"/>
        <w:rPr>
          <w:rFonts w:ascii="Arial" w:hAnsi="Arial" w:cs="Arial"/>
          <w:b/>
          <w:color w:val="auto"/>
          <w:sz w:val="28"/>
          <w:szCs w:val="28"/>
        </w:rPr>
      </w:pPr>
      <w:bookmarkStart w:id="6" w:name="_Toc32920994"/>
      <w:bookmarkStart w:id="7" w:name="_Toc23514958"/>
      <w:bookmarkStart w:id="8" w:name="_Toc24027367"/>
      <w:r w:rsidRPr="00E46393">
        <w:rPr>
          <w:rFonts w:ascii="Arial" w:hAnsi="Arial" w:cs="Arial"/>
          <w:b/>
          <w:color w:val="auto"/>
          <w:sz w:val="28"/>
          <w:szCs w:val="28"/>
        </w:rPr>
        <w:t>Citi pakalpojumi</w:t>
      </w:r>
      <w:bookmarkEnd w:id="6"/>
    </w:p>
    <w:tbl>
      <w:tblPr>
        <w:tblpPr w:leftFromText="180" w:rightFromText="180" w:vertAnchor="text" w:tblpXSpec="center" w:tblpY="1"/>
        <w:tblOverlap w:val="never"/>
        <w:tblW w:w="9493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5949"/>
        <w:gridCol w:w="3544"/>
      </w:tblGrid>
      <w:tr w:rsidR="00E46393" w:rsidRPr="00080D3E" w:rsidTr="004E5DF7">
        <w:trPr>
          <w:tblHeader/>
        </w:trPr>
        <w:tc>
          <w:tcPr>
            <w:tcW w:w="5949" w:type="dxa"/>
            <w:shd w:val="clear" w:color="auto" w:fill="0070C0"/>
            <w:vAlign w:val="center"/>
          </w:tcPr>
          <w:p w:rsidR="00E46393" w:rsidRPr="001B3F35" w:rsidRDefault="00E46393" w:rsidP="004E5DF7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3F35">
              <w:rPr>
                <w:rFonts w:ascii="Arial" w:hAnsi="Arial" w:cs="Arial"/>
                <w:b/>
                <w:color w:val="FFFFFF"/>
                <w:sz w:val="18"/>
                <w:szCs w:val="18"/>
              </w:rPr>
              <w:t>Pozīcija</w:t>
            </w:r>
          </w:p>
        </w:tc>
        <w:tc>
          <w:tcPr>
            <w:tcW w:w="3544" w:type="dxa"/>
            <w:shd w:val="clear" w:color="auto" w:fill="0070C0"/>
            <w:vAlign w:val="center"/>
          </w:tcPr>
          <w:p w:rsidR="00E46393" w:rsidRPr="001B3F35" w:rsidRDefault="00E46393" w:rsidP="004E5DF7">
            <w:pPr>
              <w:spacing w:before="60" w:after="60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1B3F35">
              <w:rPr>
                <w:rFonts w:ascii="Arial" w:hAnsi="Arial" w:cs="Arial"/>
                <w:b/>
                <w:color w:val="FFFFFF"/>
                <w:sz w:val="18"/>
                <w:szCs w:val="18"/>
              </w:rPr>
              <w:t>Tarifi</w:t>
            </w:r>
          </w:p>
        </w:tc>
      </w:tr>
      <w:tr w:rsidR="00E46393" w:rsidRPr="00080D3E" w:rsidTr="004E5DF7">
        <w:tc>
          <w:tcPr>
            <w:tcW w:w="5949" w:type="dxa"/>
            <w:tcBorders>
              <w:top w:val="single" w:sz="4" w:space="0" w:color="0070C0"/>
            </w:tcBorders>
            <w:shd w:val="clear" w:color="auto" w:fill="auto"/>
          </w:tcPr>
          <w:p w:rsidR="00E46393" w:rsidRDefault="00E46393" w:rsidP="004E5D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90788E">
              <w:rPr>
                <w:rFonts w:ascii="Arial" w:hAnsi="Arial" w:cs="Arial"/>
                <w:sz w:val="18"/>
                <w:szCs w:val="18"/>
              </w:rPr>
              <w:t xml:space="preserve">Izejošais maksājums </w:t>
            </w:r>
            <w:r>
              <w:rPr>
                <w:rFonts w:ascii="Arial" w:hAnsi="Arial" w:cs="Arial"/>
                <w:sz w:val="18"/>
                <w:szCs w:val="18"/>
              </w:rPr>
              <w:t xml:space="preserve">(tai skaitā </w:t>
            </w:r>
            <w:r>
              <w:t xml:space="preserve"> </w:t>
            </w:r>
            <w:r w:rsidRPr="0090788E">
              <w:rPr>
                <w:rFonts w:ascii="Arial" w:hAnsi="Arial" w:cs="Arial"/>
                <w:sz w:val="18"/>
                <w:szCs w:val="18"/>
              </w:rPr>
              <w:t>nepareizi pārskaitītas vai pārmaksātas summas atgriešan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0788E">
              <w:rPr>
                <w:rFonts w:ascii="Arial" w:hAnsi="Arial" w:cs="Arial"/>
                <w:sz w:val="18"/>
                <w:szCs w:val="18"/>
              </w:rPr>
              <w:t xml:space="preserve"> pēc visu saistību atmaksas​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46393" w:rsidRPr="001B3F35" w:rsidRDefault="00E46393" w:rsidP="00E46393">
            <w:pPr>
              <w:spacing w:before="60" w:after="60"/>
              <w:rPr>
                <w:rFonts w:ascii="Arial" w:hAnsi="Arial" w:cs="Arial"/>
                <w:i/>
                <w:sz w:val="18"/>
                <w:szCs w:val="18"/>
              </w:rPr>
            </w:pPr>
            <w:r w:rsidRPr="001B3F3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70C0"/>
            </w:tcBorders>
            <w:shd w:val="clear" w:color="auto" w:fill="F2F2F2"/>
          </w:tcPr>
          <w:p w:rsidR="00E46393" w:rsidRPr="001B3F35" w:rsidRDefault="00E46393" w:rsidP="004E5DF7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1B3F35">
              <w:rPr>
                <w:rFonts w:ascii="Arial" w:hAnsi="Arial" w:cs="Arial"/>
                <w:sz w:val="18"/>
                <w:szCs w:val="18"/>
              </w:rPr>
              <w:t>faktiskās izmaksas, min. 0,61 EUR</w:t>
            </w:r>
          </w:p>
          <w:p w:rsidR="00E46393" w:rsidRPr="001B3F35" w:rsidRDefault="00E46393" w:rsidP="004D1DEE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Tarifs </w:t>
            </w:r>
            <w:r w:rsidR="000328DF">
              <w:t xml:space="preserve"> </w:t>
            </w:r>
            <w:r w:rsidR="000328DF" w:rsidRPr="000328DF">
              <w:rPr>
                <w:rFonts w:ascii="Arial" w:hAnsi="Arial" w:cs="Arial"/>
                <w:i/>
                <w:color w:val="FF0000"/>
                <w:sz w:val="18"/>
                <w:szCs w:val="18"/>
              </w:rPr>
              <w:t xml:space="preserve">fiziskām un juridiskām personām </w:t>
            </w:r>
            <w:r>
              <w:rPr>
                <w:rFonts w:ascii="Arial" w:hAnsi="Arial" w:cs="Arial"/>
                <w:i/>
                <w:color w:val="FF0000"/>
                <w:sz w:val="18"/>
                <w:szCs w:val="18"/>
              </w:rPr>
              <w:t>stāsies spēkā 1</w:t>
            </w:r>
            <w:r w:rsidR="004D1DEE">
              <w:rPr>
                <w:rFonts w:ascii="Arial" w:hAnsi="Arial" w:cs="Arial"/>
                <w:i/>
                <w:color w:val="FF0000"/>
                <w:sz w:val="18"/>
                <w:szCs w:val="18"/>
              </w:rPr>
              <w:t>9.</w:t>
            </w:r>
            <w:bookmarkStart w:id="9" w:name="_GoBack"/>
            <w:bookmarkEnd w:id="9"/>
            <w:r w:rsidRPr="001B3F35">
              <w:rPr>
                <w:rFonts w:ascii="Arial" w:hAnsi="Arial" w:cs="Arial"/>
                <w:i/>
                <w:color w:val="FF0000"/>
                <w:sz w:val="18"/>
                <w:szCs w:val="18"/>
              </w:rPr>
              <w:t>03.2020</w:t>
            </w:r>
          </w:p>
        </w:tc>
      </w:tr>
      <w:bookmarkEnd w:id="7"/>
      <w:bookmarkEnd w:id="8"/>
    </w:tbl>
    <w:p w:rsidR="00E46393" w:rsidRPr="00E46393" w:rsidRDefault="00E46393" w:rsidP="00E46393"/>
    <w:sectPr w:rsidR="00E46393" w:rsidRPr="00E46393" w:rsidSect="00A8551D">
      <w:headerReference w:type="first" r:id="rId8"/>
      <w:pgSz w:w="11906" w:h="16838"/>
      <w:pgMar w:top="536" w:right="1841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C07" w:rsidRDefault="003F1C07" w:rsidP="00DD6E3D">
      <w:pPr>
        <w:spacing w:after="0" w:line="240" w:lineRule="auto"/>
      </w:pPr>
      <w:r>
        <w:separator/>
      </w:r>
    </w:p>
  </w:endnote>
  <w:endnote w:type="continuationSeparator" w:id="0">
    <w:p w:rsidR="003F1C07" w:rsidRDefault="003F1C07" w:rsidP="00DD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C07" w:rsidRDefault="003F1C07" w:rsidP="00DD6E3D">
      <w:pPr>
        <w:spacing w:after="0" w:line="240" w:lineRule="auto"/>
      </w:pPr>
      <w:r>
        <w:separator/>
      </w:r>
    </w:p>
  </w:footnote>
  <w:footnote w:type="continuationSeparator" w:id="0">
    <w:p w:rsidR="003F1C07" w:rsidRDefault="003F1C07" w:rsidP="00DD6E3D">
      <w:pPr>
        <w:spacing w:after="0" w:line="240" w:lineRule="auto"/>
      </w:pPr>
      <w:r>
        <w:continuationSeparator/>
      </w:r>
    </w:p>
  </w:footnote>
  <w:footnote w:id="1">
    <w:p w:rsidR="00AC12DC" w:rsidRPr="004C58BE" w:rsidRDefault="00AC12DC" w:rsidP="004C58BE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Komisijas maksa par </w:t>
      </w:r>
      <w:r w:rsidR="00E27C07">
        <w:rPr>
          <w:rFonts w:ascii="Arial" w:hAnsi="Arial" w:cs="Arial"/>
          <w:i/>
          <w:sz w:val="16"/>
          <w:szCs w:val="16"/>
        </w:rPr>
        <w:t>akcijām</w:t>
      </w:r>
      <w:r w:rsidRPr="004C58BE">
        <w:rPr>
          <w:rFonts w:ascii="Arial" w:hAnsi="Arial" w:cs="Arial"/>
          <w:i/>
          <w:sz w:val="16"/>
          <w:szCs w:val="16"/>
        </w:rPr>
        <w:t>, kur</w:t>
      </w:r>
      <w:r w:rsidR="00C67801">
        <w:rPr>
          <w:rFonts w:ascii="Arial" w:hAnsi="Arial" w:cs="Arial"/>
          <w:i/>
          <w:sz w:val="16"/>
          <w:szCs w:val="16"/>
        </w:rPr>
        <w:t>ā</w:t>
      </w:r>
      <w:r w:rsidRPr="004C58BE">
        <w:rPr>
          <w:rFonts w:ascii="Arial" w:hAnsi="Arial" w:cs="Arial"/>
          <w:i/>
          <w:sz w:val="16"/>
          <w:szCs w:val="16"/>
        </w:rPr>
        <w:t>m emitenti atrodas bankrota stadij</w:t>
      </w:r>
      <w:r w:rsidR="00C67801">
        <w:rPr>
          <w:rFonts w:ascii="Arial" w:hAnsi="Arial" w:cs="Arial"/>
          <w:i/>
          <w:sz w:val="16"/>
          <w:szCs w:val="16"/>
        </w:rPr>
        <w:t>ā</w:t>
      </w:r>
      <w:r w:rsidRPr="004C58BE">
        <w:rPr>
          <w:rFonts w:ascii="Arial" w:hAnsi="Arial" w:cs="Arial"/>
          <w:i/>
          <w:sz w:val="16"/>
          <w:szCs w:val="16"/>
        </w:rPr>
        <w:t xml:space="preserve"> (</w:t>
      </w:r>
      <w:proofErr w:type="spellStart"/>
      <w:r w:rsidRPr="004C58BE">
        <w:rPr>
          <w:rFonts w:ascii="Arial" w:hAnsi="Arial" w:cs="Arial"/>
          <w:i/>
          <w:sz w:val="16"/>
          <w:szCs w:val="16"/>
        </w:rPr>
        <w:t>defaulted</w:t>
      </w:r>
      <w:proofErr w:type="spellEnd"/>
      <w:r w:rsidRPr="004C58BE">
        <w:rPr>
          <w:rFonts w:ascii="Arial" w:hAnsi="Arial" w:cs="Arial"/>
          <w:i/>
          <w:sz w:val="16"/>
          <w:szCs w:val="16"/>
        </w:rPr>
        <w:t>), tiek ieturētā pēc Bankas faktiskajiem izdevumiem.</w:t>
      </w:r>
    </w:p>
  </w:footnote>
  <w:footnote w:id="2">
    <w:p w:rsidR="00AC12DC" w:rsidRPr="004C58BE" w:rsidRDefault="00AC12DC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Neatteicas uz obligācijām, kuras nominētas Krievijas rubļos un tiek tirgotas MOEX biržā.</w:t>
      </w:r>
    </w:p>
  </w:footnote>
  <w:footnote w:id="3">
    <w:p w:rsidR="00AC12DC" w:rsidRPr="004C58BE" w:rsidRDefault="00AC12DC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Norādītās komisijas sevī neietver biržas un citas komisijas, kas radušās,</w:t>
      </w:r>
      <w:r w:rsidR="00CA08D9">
        <w:rPr>
          <w:rFonts w:ascii="Arial" w:hAnsi="Arial" w:cs="Arial"/>
          <w:i/>
          <w:sz w:val="16"/>
          <w:szCs w:val="16"/>
        </w:rPr>
        <w:t xml:space="preserve"> veicot </w:t>
      </w:r>
      <w:r w:rsidR="009D24E7">
        <w:rPr>
          <w:rFonts w:ascii="Arial" w:hAnsi="Arial" w:cs="Arial"/>
          <w:i/>
          <w:sz w:val="16"/>
          <w:szCs w:val="16"/>
        </w:rPr>
        <w:t xml:space="preserve">piespiedu </w:t>
      </w:r>
      <w:r w:rsidR="00CA08D9">
        <w:rPr>
          <w:rFonts w:ascii="Arial" w:hAnsi="Arial" w:cs="Arial"/>
          <w:i/>
          <w:sz w:val="16"/>
          <w:szCs w:val="16"/>
        </w:rPr>
        <w:t>pārdošanu</w:t>
      </w:r>
      <w:r w:rsidRPr="004C58BE">
        <w:rPr>
          <w:rFonts w:ascii="Arial" w:hAnsi="Arial" w:cs="Arial"/>
          <w:i/>
          <w:sz w:val="16"/>
          <w:szCs w:val="16"/>
        </w:rPr>
        <w:t>; šīs komisijas klients maksā atsevišķi.</w:t>
      </w:r>
    </w:p>
  </w:footnote>
  <w:footnote w:id="4">
    <w:p w:rsidR="00AC12DC" w:rsidRPr="004C58BE" w:rsidRDefault="00AC12DC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Norādītās komisijas sevī neietver Francijas FTN (Finanšu Transakcijas nodokli) 0,2% no darījuma summas. Norādītie nodokļi tiek piemēroti tikai akciju pirkšanai.</w:t>
      </w:r>
    </w:p>
  </w:footnote>
  <w:footnote w:id="5">
    <w:p w:rsidR="00AC12DC" w:rsidRPr="004C58BE" w:rsidRDefault="00AC12DC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Trešo personu komisijas, kā arī Francijas FTN (Finanšu Transakcijas nodokli) no ADR (Amerikas depozitāro sertifikātu) (0.2% apmērā), klients maksā atsevišķi.</w:t>
      </w:r>
    </w:p>
  </w:footnote>
  <w:footnote w:id="6">
    <w:p w:rsidR="00AC12DC" w:rsidRPr="004C58BE" w:rsidRDefault="00AC12DC">
      <w:pPr>
        <w:pStyle w:val="FootnoteText"/>
        <w:ind w:left="-993"/>
        <w:rPr>
          <w:rFonts w:ascii="Arial" w:hAnsi="Arial" w:cs="Arial"/>
          <w:i/>
          <w:sz w:val="16"/>
          <w:szCs w:val="16"/>
        </w:rPr>
      </w:pPr>
      <w:r w:rsidRPr="004C58BE">
        <w:rPr>
          <w:rStyle w:val="FootnoteReference"/>
          <w:rFonts w:ascii="Arial" w:hAnsi="Arial" w:cs="Arial"/>
          <w:i/>
          <w:sz w:val="16"/>
          <w:szCs w:val="16"/>
        </w:rPr>
        <w:footnoteRef/>
      </w:r>
      <w:r w:rsidRPr="004C58BE">
        <w:rPr>
          <w:rFonts w:ascii="Arial" w:hAnsi="Arial" w:cs="Arial"/>
          <w:i/>
          <w:sz w:val="16"/>
          <w:szCs w:val="16"/>
        </w:rPr>
        <w:t xml:space="preserve"> Norādītās komisijas sevī neietver DVP (</w:t>
      </w:r>
      <w:proofErr w:type="spellStart"/>
      <w:r w:rsidRPr="004C58BE">
        <w:rPr>
          <w:rFonts w:ascii="Arial" w:hAnsi="Arial" w:cs="Arial"/>
          <w:i/>
          <w:sz w:val="16"/>
          <w:szCs w:val="16"/>
        </w:rPr>
        <w:t>delivery-versus-payment</w:t>
      </w:r>
      <w:proofErr w:type="spellEnd"/>
      <w:r w:rsidRPr="004C58BE">
        <w:rPr>
          <w:rFonts w:ascii="Arial" w:hAnsi="Arial" w:cs="Arial"/>
          <w:i/>
          <w:sz w:val="16"/>
          <w:szCs w:val="16"/>
        </w:rPr>
        <w:t>), biržas un citas komisijas, kas radušās,</w:t>
      </w:r>
      <w:r w:rsidR="00CA08D9">
        <w:rPr>
          <w:rFonts w:ascii="Arial" w:hAnsi="Arial" w:cs="Arial"/>
          <w:i/>
          <w:sz w:val="16"/>
          <w:szCs w:val="16"/>
        </w:rPr>
        <w:t xml:space="preserve"> veicot </w:t>
      </w:r>
      <w:r w:rsidR="009D24E7">
        <w:rPr>
          <w:rFonts w:ascii="Arial" w:hAnsi="Arial" w:cs="Arial"/>
          <w:i/>
          <w:sz w:val="16"/>
          <w:szCs w:val="16"/>
        </w:rPr>
        <w:t xml:space="preserve">piespiedu </w:t>
      </w:r>
      <w:r w:rsidR="00CA08D9">
        <w:rPr>
          <w:rFonts w:ascii="Arial" w:hAnsi="Arial" w:cs="Arial"/>
          <w:i/>
          <w:sz w:val="16"/>
          <w:szCs w:val="16"/>
        </w:rPr>
        <w:t xml:space="preserve">pārdošanu </w:t>
      </w:r>
      <w:r w:rsidRPr="004C58BE">
        <w:rPr>
          <w:rFonts w:ascii="Arial" w:hAnsi="Arial" w:cs="Arial"/>
          <w:i/>
          <w:sz w:val="16"/>
          <w:szCs w:val="16"/>
        </w:rPr>
        <w:t>; šīs komisijas klients maksā atsevišķi.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2DC" w:rsidRDefault="00703765" w:rsidP="00703765">
    <w:pPr>
      <w:pStyle w:val="Header"/>
      <w:tabs>
        <w:tab w:val="clear" w:pos="8306"/>
        <w:tab w:val="right" w:pos="8265"/>
      </w:tabs>
      <w:jc w:val="right"/>
    </w:pPr>
    <w:r>
      <w:rPr>
        <w:noProof/>
        <w:lang w:eastAsia="lv-LV"/>
      </w:rPr>
      <w:drawing>
        <wp:anchor distT="0" distB="0" distL="114300" distR="114300" simplePos="0" relativeHeight="251661312" behindDoc="1" locked="0" layoutInCell="1" allowOverlap="1" wp14:anchorId="66D79273" wp14:editId="12860766">
          <wp:simplePos x="0" y="0"/>
          <wp:positionH relativeFrom="column">
            <wp:posOffset>-739140</wp:posOffset>
          </wp:positionH>
          <wp:positionV relativeFrom="paragraph">
            <wp:posOffset>171450</wp:posOffset>
          </wp:positionV>
          <wp:extent cx="2152650" cy="476250"/>
          <wp:effectExtent l="0" t="0" r="0" b="0"/>
          <wp:wrapNone/>
          <wp:docPr id="15" name="Picture 1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33614940" wp14:editId="411629AF">
          <wp:simplePos x="0" y="0"/>
          <wp:positionH relativeFrom="page">
            <wp:posOffset>4721860</wp:posOffset>
          </wp:positionH>
          <wp:positionV relativeFrom="paragraph">
            <wp:posOffset>149225</wp:posOffset>
          </wp:positionV>
          <wp:extent cx="2409825" cy="552450"/>
          <wp:effectExtent l="0" t="0" r="0" b="0"/>
          <wp:wrapNone/>
          <wp:docPr id="16" name="Picture 16" descr="LV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V_labot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Pielikums Nr. </w:t>
    </w:r>
    <w:r w:rsidR="00696769">
      <w:t>1</w:t>
    </w:r>
  </w:p>
  <w:p w:rsidR="00AC12DC" w:rsidRDefault="00AC12DC" w:rsidP="00D865CB">
    <w:pPr>
      <w:pStyle w:val="Header"/>
    </w:pPr>
  </w:p>
  <w:p w:rsidR="00AC12DC" w:rsidRDefault="00AC12DC" w:rsidP="00D865CB">
    <w:pPr>
      <w:pStyle w:val="Header"/>
    </w:pPr>
  </w:p>
  <w:p w:rsidR="00AC12DC" w:rsidRDefault="00AC12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FD2"/>
    <w:multiLevelType w:val="hybridMultilevel"/>
    <w:tmpl w:val="D3BC6B68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2F74DFE0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B608B"/>
    <w:multiLevelType w:val="hybridMultilevel"/>
    <w:tmpl w:val="EB0EFD5E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714FB"/>
    <w:multiLevelType w:val="hybridMultilevel"/>
    <w:tmpl w:val="146000AA"/>
    <w:lvl w:ilvl="0" w:tplc="EF24CAAE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07D98"/>
    <w:multiLevelType w:val="hybridMultilevel"/>
    <w:tmpl w:val="E21CFC38"/>
    <w:lvl w:ilvl="0" w:tplc="BAA25414">
      <w:start w:val="1"/>
      <w:numFmt w:val="bullet"/>
      <w:lvlText w:val="-"/>
      <w:lvlJc w:val="left"/>
      <w:pPr>
        <w:ind w:left="420" w:hanging="360"/>
      </w:pPr>
      <w:rPr>
        <w:rFonts w:ascii="Verdana" w:eastAsiaTheme="minorHAnsi" w:hAnsi="Verdana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E264DE"/>
    <w:multiLevelType w:val="hybridMultilevel"/>
    <w:tmpl w:val="CD6AFB8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57F37"/>
    <w:multiLevelType w:val="hybridMultilevel"/>
    <w:tmpl w:val="5162AEA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C3B4F"/>
    <w:multiLevelType w:val="hybridMultilevel"/>
    <w:tmpl w:val="29BA2E54"/>
    <w:lvl w:ilvl="0" w:tplc="0426000F">
      <w:start w:val="1"/>
      <w:numFmt w:val="decimal"/>
      <w:lvlText w:val="%1."/>
      <w:lvlJc w:val="left"/>
      <w:pPr>
        <w:ind w:left="-414" w:hanging="360"/>
      </w:pPr>
    </w:lvl>
    <w:lvl w:ilvl="1" w:tplc="04260019" w:tentative="1">
      <w:start w:val="1"/>
      <w:numFmt w:val="lowerLetter"/>
      <w:lvlText w:val="%2."/>
      <w:lvlJc w:val="left"/>
      <w:pPr>
        <w:ind w:left="306" w:hanging="360"/>
      </w:pPr>
    </w:lvl>
    <w:lvl w:ilvl="2" w:tplc="0426001B" w:tentative="1">
      <w:start w:val="1"/>
      <w:numFmt w:val="lowerRoman"/>
      <w:lvlText w:val="%3."/>
      <w:lvlJc w:val="right"/>
      <w:pPr>
        <w:ind w:left="1026" w:hanging="180"/>
      </w:pPr>
    </w:lvl>
    <w:lvl w:ilvl="3" w:tplc="0426000F" w:tentative="1">
      <w:start w:val="1"/>
      <w:numFmt w:val="decimal"/>
      <w:lvlText w:val="%4."/>
      <w:lvlJc w:val="left"/>
      <w:pPr>
        <w:ind w:left="1746" w:hanging="360"/>
      </w:pPr>
    </w:lvl>
    <w:lvl w:ilvl="4" w:tplc="04260019" w:tentative="1">
      <w:start w:val="1"/>
      <w:numFmt w:val="lowerLetter"/>
      <w:lvlText w:val="%5."/>
      <w:lvlJc w:val="left"/>
      <w:pPr>
        <w:ind w:left="2466" w:hanging="360"/>
      </w:pPr>
    </w:lvl>
    <w:lvl w:ilvl="5" w:tplc="0426001B" w:tentative="1">
      <w:start w:val="1"/>
      <w:numFmt w:val="lowerRoman"/>
      <w:lvlText w:val="%6."/>
      <w:lvlJc w:val="right"/>
      <w:pPr>
        <w:ind w:left="3186" w:hanging="180"/>
      </w:pPr>
    </w:lvl>
    <w:lvl w:ilvl="6" w:tplc="0426000F" w:tentative="1">
      <w:start w:val="1"/>
      <w:numFmt w:val="decimal"/>
      <w:lvlText w:val="%7."/>
      <w:lvlJc w:val="left"/>
      <w:pPr>
        <w:ind w:left="3906" w:hanging="360"/>
      </w:pPr>
    </w:lvl>
    <w:lvl w:ilvl="7" w:tplc="04260019" w:tentative="1">
      <w:start w:val="1"/>
      <w:numFmt w:val="lowerLetter"/>
      <w:lvlText w:val="%8."/>
      <w:lvlJc w:val="left"/>
      <w:pPr>
        <w:ind w:left="4626" w:hanging="360"/>
      </w:pPr>
    </w:lvl>
    <w:lvl w:ilvl="8" w:tplc="0426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7" w15:restartNumberingAfterBreak="0">
    <w:nsid w:val="20A21DB2"/>
    <w:multiLevelType w:val="hybridMultilevel"/>
    <w:tmpl w:val="E31093C4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FE5AAA"/>
    <w:multiLevelType w:val="hybridMultilevel"/>
    <w:tmpl w:val="EEFE05F0"/>
    <w:lvl w:ilvl="0" w:tplc="2F74DFE0">
      <w:start w:val="1"/>
      <w:numFmt w:val="bullet"/>
      <w:lvlText w:val="−"/>
      <w:lvlJc w:val="left"/>
      <w:pPr>
        <w:ind w:left="612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9" w15:restartNumberingAfterBreak="0">
    <w:nsid w:val="2F6620F7"/>
    <w:multiLevelType w:val="hybridMultilevel"/>
    <w:tmpl w:val="AA528258"/>
    <w:lvl w:ilvl="0" w:tplc="2F74DFE0">
      <w:start w:val="1"/>
      <w:numFmt w:val="bullet"/>
      <w:lvlText w:val="−"/>
      <w:lvlJc w:val="left"/>
      <w:pPr>
        <w:ind w:left="13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 w15:restartNumberingAfterBreak="0">
    <w:nsid w:val="30415E8B"/>
    <w:multiLevelType w:val="hybridMultilevel"/>
    <w:tmpl w:val="6444F666"/>
    <w:lvl w:ilvl="0" w:tplc="2F74DFE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EA3470"/>
    <w:multiLevelType w:val="hybridMultilevel"/>
    <w:tmpl w:val="F632973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E6FA8"/>
    <w:multiLevelType w:val="hybridMultilevel"/>
    <w:tmpl w:val="84181A34"/>
    <w:lvl w:ilvl="0" w:tplc="2F74DFE0">
      <w:start w:val="1"/>
      <w:numFmt w:val="bullet"/>
      <w:lvlText w:val="−"/>
      <w:lvlJc w:val="left"/>
      <w:pPr>
        <w:ind w:left="754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3C3F79FA"/>
    <w:multiLevelType w:val="hybridMultilevel"/>
    <w:tmpl w:val="3E325640"/>
    <w:lvl w:ilvl="0" w:tplc="2F74DFE0">
      <w:start w:val="1"/>
      <w:numFmt w:val="bullet"/>
      <w:lvlText w:val="−"/>
      <w:lvlJc w:val="left"/>
      <w:pPr>
        <w:ind w:left="1069" w:hanging="360"/>
      </w:pPr>
      <w:rPr>
        <w:rFonts w:ascii="Arial" w:hAnsi="Aria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81DC3"/>
    <w:multiLevelType w:val="hybridMultilevel"/>
    <w:tmpl w:val="153A9344"/>
    <w:lvl w:ilvl="0" w:tplc="9AAA19A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F063E0"/>
    <w:multiLevelType w:val="hybridMultilevel"/>
    <w:tmpl w:val="C6B809F6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4661BC"/>
    <w:multiLevelType w:val="hybridMultilevel"/>
    <w:tmpl w:val="1E1427DA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45C141C5"/>
    <w:multiLevelType w:val="hybridMultilevel"/>
    <w:tmpl w:val="BE4C2350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C031BF"/>
    <w:multiLevelType w:val="hybridMultilevel"/>
    <w:tmpl w:val="580A0C9E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AA5170"/>
    <w:multiLevelType w:val="hybridMultilevel"/>
    <w:tmpl w:val="0B946AE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947C4"/>
    <w:multiLevelType w:val="hybridMultilevel"/>
    <w:tmpl w:val="F15E5CFC"/>
    <w:lvl w:ilvl="0" w:tplc="9AAA19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FD05C7"/>
    <w:multiLevelType w:val="hybridMultilevel"/>
    <w:tmpl w:val="9878D022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836831"/>
    <w:multiLevelType w:val="hybridMultilevel"/>
    <w:tmpl w:val="8188E2AE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E643D65"/>
    <w:multiLevelType w:val="hybridMultilevel"/>
    <w:tmpl w:val="35A42E0A"/>
    <w:lvl w:ilvl="0" w:tplc="2F74DFE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673CAF"/>
    <w:multiLevelType w:val="hybridMultilevel"/>
    <w:tmpl w:val="5378B9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45F33"/>
    <w:multiLevelType w:val="hybridMultilevel"/>
    <w:tmpl w:val="DD6AB252"/>
    <w:lvl w:ilvl="0" w:tplc="79E4B3A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B01340"/>
    <w:multiLevelType w:val="hybridMultilevel"/>
    <w:tmpl w:val="ACC8056E"/>
    <w:lvl w:ilvl="0" w:tplc="B22826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13"/>
  </w:num>
  <w:num w:numId="4">
    <w:abstractNumId w:val="20"/>
  </w:num>
  <w:num w:numId="5">
    <w:abstractNumId w:val="22"/>
  </w:num>
  <w:num w:numId="6">
    <w:abstractNumId w:val="1"/>
  </w:num>
  <w:num w:numId="7">
    <w:abstractNumId w:val="9"/>
  </w:num>
  <w:num w:numId="8">
    <w:abstractNumId w:val="4"/>
  </w:num>
  <w:num w:numId="9">
    <w:abstractNumId w:val="17"/>
  </w:num>
  <w:num w:numId="10">
    <w:abstractNumId w:val="10"/>
  </w:num>
  <w:num w:numId="11">
    <w:abstractNumId w:val="3"/>
  </w:num>
  <w:num w:numId="12">
    <w:abstractNumId w:val="19"/>
  </w:num>
  <w:num w:numId="13">
    <w:abstractNumId w:val="15"/>
  </w:num>
  <w:num w:numId="14">
    <w:abstractNumId w:val="0"/>
  </w:num>
  <w:num w:numId="15">
    <w:abstractNumId w:val="18"/>
  </w:num>
  <w:num w:numId="16">
    <w:abstractNumId w:val="11"/>
  </w:num>
  <w:num w:numId="17">
    <w:abstractNumId w:val="8"/>
  </w:num>
  <w:num w:numId="18">
    <w:abstractNumId w:val="12"/>
  </w:num>
  <w:num w:numId="19">
    <w:abstractNumId w:val="16"/>
  </w:num>
  <w:num w:numId="20">
    <w:abstractNumId w:val="21"/>
  </w:num>
  <w:num w:numId="21">
    <w:abstractNumId w:val="23"/>
  </w:num>
  <w:num w:numId="22">
    <w:abstractNumId w:val="7"/>
  </w:num>
  <w:num w:numId="23">
    <w:abstractNumId w:val="6"/>
  </w:num>
  <w:num w:numId="24">
    <w:abstractNumId w:val="2"/>
  </w:num>
  <w:num w:numId="25">
    <w:abstractNumId w:val="5"/>
  </w:num>
  <w:num w:numId="26">
    <w:abstractNumId w:val="26"/>
  </w:num>
  <w:num w:numId="27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325"/>
    <w:rsid w:val="00005118"/>
    <w:rsid w:val="000116D2"/>
    <w:rsid w:val="00012183"/>
    <w:rsid w:val="0001302E"/>
    <w:rsid w:val="00015881"/>
    <w:rsid w:val="00017FF9"/>
    <w:rsid w:val="000328DF"/>
    <w:rsid w:val="00032F95"/>
    <w:rsid w:val="00033467"/>
    <w:rsid w:val="00035639"/>
    <w:rsid w:val="00035685"/>
    <w:rsid w:val="00035849"/>
    <w:rsid w:val="00041B8D"/>
    <w:rsid w:val="0004259B"/>
    <w:rsid w:val="00044EFD"/>
    <w:rsid w:val="000556BB"/>
    <w:rsid w:val="00057576"/>
    <w:rsid w:val="00062E61"/>
    <w:rsid w:val="00063EEC"/>
    <w:rsid w:val="00067EF7"/>
    <w:rsid w:val="0007344E"/>
    <w:rsid w:val="0007385E"/>
    <w:rsid w:val="00074797"/>
    <w:rsid w:val="000765A4"/>
    <w:rsid w:val="000770EB"/>
    <w:rsid w:val="00080D3E"/>
    <w:rsid w:val="00081C99"/>
    <w:rsid w:val="00082414"/>
    <w:rsid w:val="0009173C"/>
    <w:rsid w:val="00091910"/>
    <w:rsid w:val="00096894"/>
    <w:rsid w:val="000A1774"/>
    <w:rsid w:val="000A1DC7"/>
    <w:rsid w:val="000A3B8C"/>
    <w:rsid w:val="000B145E"/>
    <w:rsid w:val="000B14C5"/>
    <w:rsid w:val="000B5014"/>
    <w:rsid w:val="000C52DE"/>
    <w:rsid w:val="000C7924"/>
    <w:rsid w:val="000D0AD8"/>
    <w:rsid w:val="000D3F2B"/>
    <w:rsid w:val="000D4C82"/>
    <w:rsid w:val="000D6131"/>
    <w:rsid w:val="000D7045"/>
    <w:rsid w:val="000D7A1B"/>
    <w:rsid w:val="000E2D9F"/>
    <w:rsid w:val="000E3D7F"/>
    <w:rsid w:val="000F1D45"/>
    <w:rsid w:val="000F355A"/>
    <w:rsid w:val="001044ED"/>
    <w:rsid w:val="00105DFE"/>
    <w:rsid w:val="00106CA3"/>
    <w:rsid w:val="00112821"/>
    <w:rsid w:val="001129E9"/>
    <w:rsid w:val="001134B4"/>
    <w:rsid w:val="001171D1"/>
    <w:rsid w:val="001200E5"/>
    <w:rsid w:val="00120C67"/>
    <w:rsid w:val="001214CA"/>
    <w:rsid w:val="001218EA"/>
    <w:rsid w:val="00122F7A"/>
    <w:rsid w:val="001242C1"/>
    <w:rsid w:val="00124590"/>
    <w:rsid w:val="00131EE8"/>
    <w:rsid w:val="001368A3"/>
    <w:rsid w:val="001410A7"/>
    <w:rsid w:val="001418D6"/>
    <w:rsid w:val="00144E23"/>
    <w:rsid w:val="00146CBF"/>
    <w:rsid w:val="00151FF8"/>
    <w:rsid w:val="00155035"/>
    <w:rsid w:val="001553D5"/>
    <w:rsid w:val="00156558"/>
    <w:rsid w:val="00156F53"/>
    <w:rsid w:val="00162543"/>
    <w:rsid w:val="00162CF0"/>
    <w:rsid w:val="001708EF"/>
    <w:rsid w:val="00173256"/>
    <w:rsid w:val="001764DF"/>
    <w:rsid w:val="00181D61"/>
    <w:rsid w:val="0018463F"/>
    <w:rsid w:val="001872FC"/>
    <w:rsid w:val="001916FF"/>
    <w:rsid w:val="001A31B6"/>
    <w:rsid w:val="001B39C0"/>
    <w:rsid w:val="001B678E"/>
    <w:rsid w:val="001C0E09"/>
    <w:rsid w:val="001C1392"/>
    <w:rsid w:val="001C327B"/>
    <w:rsid w:val="001C657D"/>
    <w:rsid w:val="001C7F09"/>
    <w:rsid w:val="001C7FBE"/>
    <w:rsid w:val="001D0631"/>
    <w:rsid w:val="001D376E"/>
    <w:rsid w:val="001D3F1F"/>
    <w:rsid w:val="001D50C8"/>
    <w:rsid w:val="001D6CCE"/>
    <w:rsid w:val="001D7E8D"/>
    <w:rsid w:val="001E5C1D"/>
    <w:rsid w:val="001E7C44"/>
    <w:rsid w:val="001F10CF"/>
    <w:rsid w:val="001F28CF"/>
    <w:rsid w:val="001F3ADD"/>
    <w:rsid w:val="001F4268"/>
    <w:rsid w:val="001F7CB2"/>
    <w:rsid w:val="00200ABD"/>
    <w:rsid w:val="00201014"/>
    <w:rsid w:val="002074B1"/>
    <w:rsid w:val="00214836"/>
    <w:rsid w:val="0022014A"/>
    <w:rsid w:val="002237AD"/>
    <w:rsid w:val="0022552E"/>
    <w:rsid w:val="00225BB4"/>
    <w:rsid w:val="00227835"/>
    <w:rsid w:val="00230C8F"/>
    <w:rsid w:val="00231A6B"/>
    <w:rsid w:val="00231DF3"/>
    <w:rsid w:val="00241618"/>
    <w:rsid w:val="00243D26"/>
    <w:rsid w:val="00245707"/>
    <w:rsid w:val="002459F3"/>
    <w:rsid w:val="00252D58"/>
    <w:rsid w:val="002605D7"/>
    <w:rsid w:val="00263D19"/>
    <w:rsid w:val="00265A3E"/>
    <w:rsid w:val="00267BDC"/>
    <w:rsid w:val="0027161D"/>
    <w:rsid w:val="00273816"/>
    <w:rsid w:val="00275B82"/>
    <w:rsid w:val="002777B7"/>
    <w:rsid w:val="00277819"/>
    <w:rsid w:val="002801F1"/>
    <w:rsid w:val="0028362D"/>
    <w:rsid w:val="00294642"/>
    <w:rsid w:val="002A0B05"/>
    <w:rsid w:val="002B2FD0"/>
    <w:rsid w:val="002B6A06"/>
    <w:rsid w:val="002D226D"/>
    <w:rsid w:val="002D6787"/>
    <w:rsid w:val="002D7B84"/>
    <w:rsid w:val="002F16A7"/>
    <w:rsid w:val="002F4859"/>
    <w:rsid w:val="002F5CA3"/>
    <w:rsid w:val="002F69FE"/>
    <w:rsid w:val="002F6D30"/>
    <w:rsid w:val="00300522"/>
    <w:rsid w:val="00305AAC"/>
    <w:rsid w:val="003072D5"/>
    <w:rsid w:val="003117CC"/>
    <w:rsid w:val="0031245B"/>
    <w:rsid w:val="0031436B"/>
    <w:rsid w:val="00315384"/>
    <w:rsid w:val="003174F8"/>
    <w:rsid w:val="00324145"/>
    <w:rsid w:val="00326391"/>
    <w:rsid w:val="00330FB2"/>
    <w:rsid w:val="0033321E"/>
    <w:rsid w:val="00336E50"/>
    <w:rsid w:val="0033779A"/>
    <w:rsid w:val="00356057"/>
    <w:rsid w:val="003579C0"/>
    <w:rsid w:val="00363F70"/>
    <w:rsid w:val="00364DB7"/>
    <w:rsid w:val="00367590"/>
    <w:rsid w:val="00375E63"/>
    <w:rsid w:val="00382E2E"/>
    <w:rsid w:val="00382E84"/>
    <w:rsid w:val="00385207"/>
    <w:rsid w:val="00387812"/>
    <w:rsid w:val="00387D02"/>
    <w:rsid w:val="00391045"/>
    <w:rsid w:val="00391C6A"/>
    <w:rsid w:val="00394CD6"/>
    <w:rsid w:val="0039676D"/>
    <w:rsid w:val="003A1752"/>
    <w:rsid w:val="003A7AAA"/>
    <w:rsid w:val="003B05C3"/>
    <w:rsid w:val="003B0D2F"/>
    <w:rsid w:val="003C0486"/>
    <w:rsid w:val="003C5AA5"/>
    <w:rsid w:val="003C70DF"/>
    <w:rsid w:val="003C75E5"/>
    <w:rsid w:val="003D017F"/>
    <w:rsid w:val="003D31AB"/>
    <w:rsid w:val="003D3EC7"/>
    <w:rsid w:val="003D4687"/>
    <w:rsid w:val="003D4F8C"/>
    <w:rsid w:val="003E6676"/>
    <w:rsid w:val="003F1C07"/>
    <w:rsid w:val="003F65D5"/>
    <w:rsid w:val="0040096A"/>
    <w:rsid w:val="00401443"/>
    <w:rsid w:val="004017FD"/>
    <w:rsid w:val="00410904"/>
    <w:rsid w:val="00410B9E"/>
    <w:rsid w:val="0041245D"/>
    <w:rsid w:val="00412DFF"/>
    <w:rsid w:val="00412F73"/>
    <w:rsid w:val="004172D6"/>
    <w:rsid w:val="004278D3"/>
    <w:rsid w:val="00431167"/>
    <w:rsid w:val="00432CF7"/>
    <w:rsid w:val="00433165"/>
    <w:rsid w:val="00443BC0"/>
    <w:rsid w:val="00445186"/>
    <w:rsid w:val="00446AEC"/>
    <w:rsid w:val="00451502"/>
    <w:rsid w:val="004534A9"/>
    <w:rsid w:val="00456006"/>
    <w:rsid w:val="004568EB"/>
    <w:rsid w:val="00461AFB"/>
    <w:rsid w:val="004626F3"/>
    <w:rsid w:val="00464B3D"/>
    <w:rsid w:val="00470299"/>
    <w:rsid w:val="004714E8"/>
    <w:rsid w:val="0047366E"/>
    <w:rsid w:val="004758D4"/>
    <w:rsid w:val="004763DC"/>
    <w:rsid w:val="004769C7"/>
    <w:rsid w:val="00477B95"/>
    <w:rsid w:val="004861D2"/>
    <w:rsid w:val="00487D0B"/>
    <w:rsid w:val="00490950"/>
    <w:rsid w:val="004932E1"/>
    <w:rsid w:val="00496587"/>
    <w:rsid w:val="004A1322"/>
    <w:rsid w:val="004A3F55"/>
    <w:rsid w:val="004A76CC"/>
    <w:rsid w:val="004A7E8C"/>
    <w:rsid w:val="004B3255"/>
    <w:rsid w:val="004B6204"/>
    <w:rsid w:val="004B6F7E"/>
    <w:rsid w:val="004C58BE"/>
    <w:rsid w:val="004D1DEE"/>
    <w:rsid w:val="004D1FE8"/>
    <w:rsid w:val="004D47FF"/>
    <w:rsid w:val="004D4915"/>
    <w:rsid w:val="004D6059"/>
    <w:rsid w:val="004D6AFB"/>
    <w:rsid w:val="004D7250"/>
    <w:rsid w:val="004E0C8C"/>
    <w:rsid w:val="004E2707"/>
    <w:rsid w:val="004E5063"/>
    <w:rsid w:val="004F2970"/>
    <w:rsid w:val="004F2C78"/>
    <w:rsid w:val="004F4F56"/>
    <w:rsid w:val="00501E07"/>
    <w:rsid w:val="00504BFD"/>
    <w:rsid w:val="00526E95"/>
    <w:rsid w:val="005318CA"/>
    <w:rsid w:val="00542B55"/>
    <w:rsid w:val="00543674"/>
    <w:rsid w:val="005442EF"/>
    <w:rsid w:val="00545D07"/>
    <w:rsid w:val="00550887"/>
    <w:rsid w:val="005510E0"/>
    <w:rsid w:val="00553638"/>
    <w:rsid w:val="00554D41"/>
    <w:rsid w:val="005650B4"/>
    <w:rsid w:val="0056737C"/>
    <w:rsid w:val="0057062B"/>
    <w:rsid w:val="0057102C"/>
    <w:rsid w:val="005713A8"/>
    <w:rsid w:val="0057272A"/>
    <w:rsid w:val="0057298E"/>
    <w:rsid w:val="0058200B"/>
    <w:rsid w:val="00584167"/>
    <w:rsid w:val="00585432"/>
    <w:rsid w:val="00586DC7"/>
    <w:rsid w:val="00587E32"/>
    <w:rsid w:val="00592882"/>
    <w:rsid w:val="00592E3A"/>
    <w:rsid w:val="00597A7E"/>
    <w:rsid w:val="005A2C9C"/>
    <w:rsid w:val="005B1361"/>
    <w:rsid w:val="005B2F90"/>
    <w:rsid w:val="005B6F05"/>
    <w:rsid w:val="005C2920"/>
    <w:rsid w:val="005C3118"/>
    <w:rsid w:val="005C3C75"/>
    <w:rsid w:val="005C4DD3"/>
    <w:rsid w:val="005C54AE"/>
    <w:rsid w:val="005C62B6"/>
    <w:rsid w:val="005D1C05"/>
    <w:rsid w:val="005D242E"/>
    <w:rsid w:val="005D5023"/>
    <w:rsid w:val="005D7F3F"/>
    <w:rsid w:val="005E0265"/>
    <w:rsid w:val="005E0CC7"/>
    <w:rsid w:val="005E4E39"/>
    <w:rsid w:val="005E6027"/>
    <w:rsid w:val="005F4FC7"/>
    <w:rsid w:val="005F539F"/>
    <w:rsid w:val="005F7666"/>
    <w:rsid w:val="00600F8E"/>
    <w:rsid w:val="00603709"/>
    <w:rsid w:val="00604FCF"/>
    <w:rsid w:val="00612086"/>
    <w:rsid w:val="00612183"/>
    <w:rsid w:val="00615F44"/>
    <w:rsid w:val="006176B9"/>
    <w:rsid w:val="00622500"/>
    <w:rsid w:val="00624B12"/>
    <w:rsid w:val="00626E5A"/>
    <w:rsid w:val="006322B1"/>
    <w:rsid w:val="00635CD7"/>
    <w:rsid w:val="006406AE"/>
    <w:rsid w:val="00642A50"/>
    <w:rsid w:val="00642A66"/>
    <w:rsid w:val="00644875"/>
    <w:rsid w:val="006468CD"/>
    <w:rsid w:val="0065051D"/>
    <w:rsid w:val="00652FDD"/>
    <w:rsid w:val="00653F7C"/>
    <w:rsid w:val="00654F2F"/>
    <w:rsid w:val="00655A6E"/>
    <w:rsid w:val="0066220C"/>
    <w:rsid w:val="00664B40"/>
    <w:rsid w:val="0067383E"/>
    <w:rsid w:val="00673C4C"/>
    <w:rsid w:val="00676393"/>
    <w:rsid w:val="00677C4A"/>
    <w:rsid w:val="00683629"/>
    <w:rsid w:val="006846C9"/>
    <w:rsid w:val="006869F2"/>
    <w:rsid w:val="00686F8F"/>
    <w:rsid w:val="006946F0"/>
    <w:rsid w:val="00696769"/>
    <w:rsid w:val="006A22A8"/>
    <w:rsid w:val="006A2798"/>
    <w:rsid w:val="006A5A52"/>
    <w:rsid w:val="006B025A"/>
    <w:rsid w:val="006B1BB5"/>
    <w:rsid w:val="006B24E8"/>
    <w:rsid w:val="006B555F"/>
    <w:rsid w:val="006B7BFF"/>
    <w:rsid w:val="006C036F"/>
    <w:rsid w:val="006C562F"/>
    <w:rsid w:val="006C5B15"/>
    <w:rsid w:val="006D0041"/>
    <w:rsid w:val="006D0E4B"/>
    <w:rsid w:val="006D1A32"/>
    <w:rsid w:val="006D3C46"/>
    <w:rsid w:val="006E74E6"/>
    <w:rsid w:val="006F36A9"/>
    <w:rsid w:val="006F3FD4"/>
    <w:rsid w:val="00700C95"/>
    <w:rsid w:val="00703765"/>
    <w:rsid w:val="00703F3F"/>
    <w:rsid w:val="007079C7"/>
    <w:rsid w:val="00712733"/>
    <w:rsid w:val="007176EF"/>
    <w:rsid w:val="00717B86"/>
    <w:rsid w:val="007254D0"/>
    <w:rsid w:val="007265FC"/>
    <w:rsid w:val="00731734"/>
    <w:rsid w:val="0073744F"/>
    <w:rsid w:val="00740796"/>
    <w:rsid w:val="00745782"/>
    <w:rsid w:val="00745F19"/>
    <w:rsid w:val="00751B84"/>
    <w:rsid w:val="0075257A"/>
    <w:rsid w:val="007528C4"/>
    <w:rsid w:val="00752A4A"/>
    <w:rsid w:val="00754185"/>
    <w:rsid w:val="007704AB"/>
    <w:rsid w:val="00775F01"/>
    <w:rsid w:val="007A4A6E"/>
    <w:rsid w:val="007A5D3A"/>
    <w:rsid w:val="007B3146"/>
    <w:rsid w:val="007B66B3"/>
    <w:rsid w:val="007C19AF"/>
    <w:rsid w:val="007C2E26"/>
    <w:rsid w:val="007C7608"/>
    <w:rsid w:val="007D059B"/>
    <w:rsid w:val="007D4124"/>
    <w:rsid w:val="007D43BF"/>
    <w:rsid w:val="007D48BD"/>
    <w:rsid w:val="007D6E0B"/>
    <w:rsid w:val="007F00FC"/>
    <w:rsid w:val="007F091E"/>
    <w:rsid w:val="007F7F55"/>
    <w:rsid w:val="0080016A"/>
    <w:rsid w:val="00801451"/>
    <w:rsid w:val="008057C0"/>
    <w:rsid w:val="008166A9"/>
    <w:rsid w:val="00834B70"/>
    <w:rsid w:val="00845873"/>
    <w:rsid w:val="008505FD"/>
    <w:rsid w:val="00854870"/>
    <w:rsid w:val="00863179"/>
    <w:rsid w:val="00864B60"/>
    <w:rsid w:val="00873639"/>
    <w:rsid w:val="0088349B"/>
    <w:rsid w:val="008860FA"/>
    <w:rsid w:val="008923F1"/>
    <w:rsid w:val="008966F0"/>
    <w:rsid w:val="008A1081"/>
    <w:rsid w:val="008A174C"/>
    <w:rsid w:val="008A1BE1"/>
    <w:rsid w:val="008A325D"/>
    <w:rsid w:val="008A4686"/>
    <w:rsid w:val="008A698E"/>
    <w:rsid w:val="008B15DB"/>
    <w:rsid w:val="008B65CB"/>
    <w:rsid w:val="008B6C6F"/>
    <w:rsid w:val="008B7F3B"/>
    <w:rsid w:val="008B7FCB"/>
    <w:rsid w:val="008C0421"/>
    <w:rsid w:val="008D0441"/>
    <w:rsid w:val="008D427B"/>
    <w:rsid w:val="008E0B52"/>
    <w:rsid w:val="008F42AC"/>
    <w:rsid w:val="008F5DFE"/>
    <w:rsid w:val="009019CA"/>
    <w:rsid w:val="00902E9A"/>
    <w:rsid w:val="00902FDB"/>
    <w:rsid w:val="0090349E"/>
    <w:rsid w:val="00911F5F"/>
    <w:rsid w:val="009218F1"/>
    <w:rsid w:val="00925FD5"/>
    <w:rsid w:val="009300DE"/>
    <w:rsid w:val="009326E0"/>
    <w:rsid w:val="0093495A"/>
    <w:rsid w:val="00934F89"/>
    <w:rsid w:val="009370FD"/>
    <w:rsid w:val="00943FEF"/>
    <w:rsid w:val="0094540C"/>
    <w:rsid w:val="00956210"/>
    <w:rsid w:val="00956446"/>
    <w:rsid w:val="00962F07"/>
    <w:rsid w:val="00967FBC"/>
    <w:rsid w:val="00975A50"/>
    <w:rsid w:val="0098472A"/>
    <w:rsid w:val="00987B69"/>
    <w:rsid w:val="00993B74"/>
    <w:rsid w:val="00994225"/>
    <w:rsid w:val="009A3BAC"/>
    <w:rsid w:val="009B43F0"/>
    <w:rsid w:val="009B7B00"/>
    <w:rsid w:val="009C5220"/>
    <w:rsid w:val="009C5B74"/>
    <w:rsid w:val="009D0555"/>
    <w:rsid w:val="009D06E4"/>
    <w:rsid w:val="009D0B24"/>
    <w:rsid w:val="009D24E7"/>
    <w:rsid w:val="009D2FAE"/>
    <w:rsid w:val="009E0FB7"/>
    <w:rsid w:val="009E2635"/>
    <w:rsid w:val="009E584D"/>
    <w:rsid w:val="009E7F11"/>
    <w:rsid w:val="009F11C6"/>
    <w:rsid w:val="009F2777"/>
    <w:rsid w:val="00A00A01"/>
    <w:rsid w:val="00A03904"/>
    <w:rsid w:val="00A056C7"/>
    <w:rsid w:val="00A15171"/>
    <w:rsid w:val="00A200D8"/>
    <w:rsid w:val="00A235CE"/>
    <w:rsid w:val="00A25ECF"/>
    <w:rsid w:val="00A32815"/>
    <w:rsid w:val="00A34D38"/>
    <w:rsid w:val="00A43AC8"/>
    <w:rsid w:val="00A46B4C"/>
    <w:rsid w:val="00A50886"/>
    <w:rsid w:val="00A5227A"/>
    <w:rsid w:val="00A52B35"/>
    <w:rsid w:val="00A54C4B"/>
    <w:rsid w:val="00A57D03"/>
    <w:rsid w:val="00A611B8"/>
    <w:rsid w:val="00A64AB9"/>
    <w:rsid w:val="00A70483"/>
    <w:rsid w:val="00A73113"/>
    <w:rsid w:val="00A749D0"/>
    <w:rsid w:val="00A756F8"/>
    <w:rsid w:val="00A77621"/>
    <w:rsid w:val="00A82184"/>
    <w:rsid w:val="00A82E14"/>
    <w:rsid w:val="00A8551D"/>
    <w:rsid w:val="00A86DD5"/>
    <w:rsid w:val="00A90A63"/>
    <w:rsid w:val="00A92945"/>
    <w:rsid w:val="00A92DD7"/>
    <w:rsid w:val="00AA3CE7"/>
    <w:rsid w:val="00AA5241"/>
    <w:rsid w:val="00AA579D"/>
    <w:rsid w:val="00AB6B73"/>
    <w:rsid w:val="00AB7420"/>
    <w:rsid w:val="00AB7D6A"/>
    <w:rsid w:val="00AC12DC"/>
    <w:rsid w:val="00AC199C"/>
    <w:rsid w:val="00AC1D14"/>
    <w:rsid w:val="00AC30B6"/>
    <w:rsid w:val="00AC7817"/>
    <w:rsid w:val="00AD26FD"/>
    <w:rsid w:val="00AD2DDA"/>
    <w:rsid w:val="00AE0F53"/>
    <w:rsid w:val="00AE353D"/>
    <w:rsid w:val="00AE4B49"/>
    <w:rsid w:val="00AF0FD2"/>
    <w:rsid w:val="00AF25C2"/>
    <w:rsid w:val="00AF26C5"/>
    <w:rsid w:val="00AF3CDC"/>
    <w:rsid w:val="00AF6C9C"/>
    <w:rsid w:val="00AF6FCA"/>
    <w:rsid w:val="00B16261"/>
    <w:rsid w:val="00B23D85"/>
    <w:rsid w:val="00B25FB0"/>
    <w:rsid w:val="00B3467B"/>
    <w:rsid w:val="00B3764F"/>
    <w:rsid w:val="00B37E1D"/>
    <w:rsid w:val="00B46052"/>
    <w:rsid w:val="00B52BCF"/>
    <w:rsid w:val="00B5565B"/>
    <w:rsid w:val="00B569DB"/>
    <w:rsid w:val="00B63CDE"/>
    <w:rsid w:val="00B64F44"/>
    <w:rsid w:val="00B65336"/>
    <w:rsid w:val="00B65727"/>
    <w:rsid w:val="00B676C7"/>
    <w:rsid w:val="00B7303E"/>
    <w:rsid w:val="00B73C0F"/>
    <w:rsid w:val="00B80F26"/>
    <w:rsid w:val="00B81F7C"/>
    <w:rsid w:val="00B906C1"/>
    <w:rsid w:val="00B91081"/>
    <w:rsid w:val="00B91325"/>
    <w:rsid w:val="00B9449B"/>
    <w:rsid w:val="00BA4779"/>
    <w:rsid w:val="00BA5267"/>
    <w:rsid w:val="00BB3BAF"/>
    <w:rsid w:val="00BB6341"/>
    <w:rsid w:val="00BB64CD"/>
    <w:rsid w:val="00BC0792"/>
    <w:rsid w:val="00BC4E1F"/>
    <w:rsid w:val="00BC626B"/>
    <w:rsid w:val="00BC6EB8"/>
    <w:rsid w:val="00BC795B"/>
    <w:rsid w:val="00BD02F8"/>
    <w:rsid w:val="00BD6B9C"/>
    <w:rsid w:val="00BE45B7"/>
    <w:rsid w:val="00BE54F2"/>
    <w:rsid w:val="00BE7E5C"/>
    <w:rsid w:val="00BF4F1A"/>
    <w:rsid w:val="00BF5439"/>
    <w:rsid w:val="00BF680B"/>
    <w:rsid w:val="00BF6C83"/>
    <w:rsid w:val="00C01A4B"/>
    <w:rsid w:val="00C0422A"/>
    <w:rsid w:val="00C045D3"/>
    <w:rsid w:val="00C10150"/>
    <w:rsid w:val="00C227DE"/>
    <w:rsid w:val="00C27124"/>
    <w:rsid w:val="00C31453"/>
    <w:rsid w:val="00C37E34"/>
    <w:rsid w:val="00C40DF6"/>
    <w:rsid w:val="00C41E6C"/>
    <w:rsid w:val="00C4760D"/>
    <w:rsid w:val="00C5200A"/>
    <w:rsid w:val="00C60725"/>
    <w:rsid w:val="00C61FF5"/>
    <w:rsid w:val="00C67801"/>
    <w:rsid w:val="00C7203E"/>
    <w:rsid w:val="00C72E01"/>
    <w:rsid w:val="00C73881"/>
    <w:rsid w:val="00C80606"/>
    <w:rsid w:val="00C80C9E"/>
    <w:rsid w:val="00C85825"/>
    <w:rsid w:val="00C87CD0"/>
    <w:rsid w:val="00C95D5A"/>
    <w:rsid w:val="00C97FB4"/>
    <w:rsid w:val="00CA08D9"/>
    <w:rsid w:val="00CA0B4D"/>
    <w:rsid w:val="00CA2718"/>
    <w:rsid w:val="00CA2E3D"/>
    <w:rsid w:val="00CB0069"/>
    <w:rsid w:val="00CB520E"/>
    <w:rsid w:val="00CB6CFB"/>
    <w:rsid w:val="00CC1B37"/>
    <w:rsid w:val="00CC28B1"/>
    <w:rsid w:val="00CC296D"/>
    <w:rsid w:val="00CC33CC"/>
    <w:rsid w:val="00CD01FF"/>
    <w:rsid w:val="00CD0D7C"/>
    <w:rsid w:val="00CD175E"/>
    <w:rsid w:val="00CD5D57"/>
    <w:rsid w:val="00CE52A8"/>
    <w:rsid w:val="00CE6FCE"/>
    <w:rsid w:val="00CF3435"/>
    <w:rsid w:val="00CF5B3D"/>
    <w:rsid w:val="00CF79AA"/>
    <w:rsid w:val="00D0749E"/>
    <w:rsid w:val="00D07D18"/>
    <w:rsid w:val="00D1192E"/>
    <w:rsid w:val="00D161A5"/>
    <w:rsid w:val="00D20594"/>
    <w:rsid w:val="00D21EA0"/>
    <w:rsid w:val="00D21FA7"/>
    <w:rsid w:val="00D23D26"/>
    <w:rsid w:val="00D27729"/>
    <w:rsid w:val="00D34229"/>
    <w:rsid w:val="00D34447"/>
    <w:rsid w:val="00D36A61"/>
    <w:rsid w:val="00D375F1"/>
    <w:rsid w:val="00D37A6C"/>
    <w:rsid w:val="00D4096C"/>
    <w:rsid w:val="00D414F4"/>
    <w:rsid w:val="00D41A6D"/>
    <w:rsid w:val="00D42114"/>
    <w:rsid w:val="00D47359"/>
    <w:rsid w:val="00D47FB4"/>
    <w:rsid w:val="00D52207"/>
    <w:rsid w:val="00D53226"/>
    <w:rsid w:val="00D53AB7"/>
    <w:rsid w:val="00D55927"/>
    <w:rsid w:val="00D56D8F"/>
    <w:rsid w:val="00D727DA"/>
    <w:rsid w:val="00D8227C"/>
    <w:rsid w:val="00D84651"/>
    <w:rsid w:val="00D860A4"/>
    <w:rsid w:val="00D865CB"/>
    <w:rsid w:val="00D9158E"/>
    <w:rsid w:val="00D96561"/>
    <w:rsid w:val="00DA061B"/>
    <w:rsid w:val="00DA2C1B"/>
    <w:rsid w:val="00DB0611"/>
    <w:rsid w:val="00DB0C67"/>
    <w:rsid w:val="00DB4A14"/>
    <w:rsid w:val="00DC1895"/>
    <w:rsid w:val="00DC4D61"/>
    <w:rsid w:val="00DC7C2C"/>
    <w:rsid w:val="00DD09F4"/>
    <w:rsid w:val="00DD1995"/>
    <w:rsid w:val="00DD5B35"/>
    <w:rsid w:val="00DD6E3D"/>
    <w:rsid w:val="00DD7FBB"/>
    <w:rsid w:val="00DE03CD"/>
    <w:rsid w:val="00DE2E9F"/>
    <w:rsid w:val="00DE2F05"/>
    <w:rsid w:val="00DE47C7"/>
    <w:rsid w:val="00DE7696"/>
    <w:rsid w:val="00DF1F9E"/>
    <w:rsid w:val="00DF378A"/>
    <w:rsid w:val="00DF7C1E"/>
    <w:rsid w:val="00E0006C"/>
    <w:rsid w:val="00E0046E"/>
    <w:rsid w:val="00E024EB"/>
    <w:rsid w:val="00E130AC"/>
    <w:rsid w:val="00E13B90"/>
    <w:rsid w:val="00E17ABF"/>
    <w:rsid w:val="00E2014D"/>
    <w:rsid w:val="00E218F3"/>
    <w:rsid w:val="00E22C96"/>
    <w:rsid w:val="00E23448"/>
    <w:rsid w:val="00E255EF"/>
    <w:rsid w:val="00E27C07"/>
    <w:rsid w:val="00E33619"/>
    <w:rsid w:val="00E353E6"/>
    <w:rsid w:val="00E42E92"/>
    <w:rsid w:val="00E4381D"/>
    <w:rsid w:val="00E45047"/>
    <w:rsid w:val="00E4516C"/>
    <w:rsid w:val="00E46393"/>
    <w:rsid w:val="00E523EF"/>
    <w:rsid w:val="00E55A6E"/>
    <w:rsid w:val="00E568A4"/>
    <w:rsid w:val="00E57F53"/>
    <w:rsid w:val="00E61A6A"/>
    <w:rsid w:val="00E63133"/>
    <w:rsid w:val="00E669D8"/>
    <w:rsid w:val="00E70556"/>
    <w:rsid w:val="00E73558"/>
    <w:rsid w:val="00E76E54"/>
    <w:rsid w:val="00E76FB6"/>
    <w:rsid w:val="00E80730"/>
    <w:rsid w:val="00E8265D"/>
    <w:rsid w:val="00E84FEE"/>
    <w:rsid w:val="00E92577"/>
    <w:rsid w:val="00E94B11"/>
    <w:rsid w:val="00E967E7"/>
    <w:rsid w:val="00E9782D"/>
    <w:rsid w:val="00EA0AB4"/>
    <w:rsid w:val="00EA0F72"/>
    <w:rsid w:val="00EA115A"/>
    <w:rsid w:val="00EA4802"/>
    <w:rsid w:val="00EA58A5"/>
    <w:rsid w:val="00EA79A3"/>
    <w:rsid w:val="00EB3436"/>
    <w:rsid w:val="00EB62E6"/>
    <w:rsid w:val="00EB6630"/>
    <w:rsid w:val="00EC2508"/>
    <w:rsid w:val="00EC437E"/>
    <w:rsid w:val="00ED5042"/>
    <w:rsid w:val="00ED5C3C"/>
    <w:rsid w:val="00ED7148"/>
    <w:rsid w:val="00EE366B"/>
    <w:rsid w:val="00EE6555"/>
    <w:rsid w:val="00EE72B8"/>
    <w:rsid w:val="00EF0F1F"/>
    <w:rsid w:val="00EF5E14"/>
    <w:rsid w:val="00F00EE3"/>
    <w:rsid w:val="00F034D1"/>
    <w:rsid w:val="00F067FB"/>
    <w:rsid w:val="00F11796"/>
    <w:rsid w:val="00F14460"/>
    <w:rsid w:val="00F204B1"/>
    <w:rsid w:val="00F23854"/>
    <w:rsid w:val="00F23D02"/>
    <w:rsid w:val="00F25395"/>
    <w:rsid w:val="00F263D9"/>
    <w:rsid w:val="00F26BB4"/>
    <w:rsid w:val="00F33DF0"/>
    <w:rsid w:val="00F34ECB"/>
    <w:rsid w:val="00F503A9"/>
    <w:rsid w:val="00F5222A"/>
    <w:rsid w:val="00F534DD"/>
    <w:rsid w:val="00F553F0"/>
    <w:rsid w:val="00F60395"/>
    <w:rsid w:val="00F628AE"/>
    <w:rsid w:val="00F63B3C"/>
    <w:rsid w:val="00F64154"/>
    <w:rsid w:val="00F6573C"/>
    <w:rsid w:val="00F65C00"/>
    <w:rsid w:val="00F674D4"/>
    <w:rsid w:val="00F70635"/>
    <w:rsid w:val="00F70FCA"/>
    <w:rsid w:val="00F71B31"/>
    <w:rsid w:val="00F720EC"/>
    <w:rsid w:val="00F76A7E"/>
    <w:rsid w:val="00F77BBE"/>
    <w:rsid w:val="00F83EAB"/>
    <w:rsid w:val="00F854D4"/>
    <w:rsid w:val="00F86A51"/>
    <w:rsid w:val="00F872C3"/>
    <w:rsid w:val="00F97038"/>
    <w:rsid w:val="00FA5D8A"/>
    <w:rsid w:val="00FB20F7"/>
    <w:rsid w:val="00FB521F"/>
    <w:rsid w:val="00FB684F"/>
    <w:rsid w:val="00FC1148"/>
    <w:rsid w:val="00FD25AD"/>
    <w:rsid w:val="00FD71FA"/>
    <w:rsid w:val="00FE01F8"/>
    <w:rsid w:val="00FE2483"/>
    <w:rsid w:val="00FE7201"/>
    <w:rsid w:val="00FF005C"/>
    <w:rsid w:val="00FF3E4B"/>
    <w:rsid w:val="00FF46DA"/>
    <w:rsid w:val="00FF5E3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5:chartTrackingRefBased/>
  <w15:docId w15:val="{8BFA5106-14EF-473E-ADE2-DAD797B6F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A6B"/>
  </w:style>
  <w:style w:type="paragraph" w:styleId="Heading1">
    <w:name w:val="heading 1"/>
    <w:basedOn w:val="Normal"/>
    <w:next w:val="Normal"/>
    <w:link w:val="Heading1Char"/>
    <w:uiPriority w:val="9"/>
    <w:qFormat/>
    <w:rsid w:val="00B9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91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1325"/>
    <w:rPr>
      <w:b/>
      <w:bCs/>
    </w:rPr>
  </w:style>
  <w:style w:type="character" w:styleId="Emphasis">
    <w:name w:val="Emphasis"/>
    <w:basedOn w:val="DefaultParagraphFont"/>
    <w:uiPriority w:val="20"/>
    <w:qFormat/>
    <w:rsid w:val="00B91325"/>
    <w:rPr>
      <w:i/>
      <w:iCs/>
    </w:rPr>
  </w:style>
  <w:style w:type="character" w:styleId="Hyperlink">
    <w:name w:val="Hyperlink"/>
    <w:basedOn w:val="DefaultParagraphFont"/>
    <w:uiPriority w:val="99"/>
    <w:unhideWhenUsed/>
    <w:rsid w:val="00B9132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91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B9132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B9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D7B84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F6C83"/>
    <w:pPr>
      <w:tabs>
        <w:tab w:val="right" w:leader="dot" w:pos="9640"/>
      </w:tabs>
      <w:spacing w:after="0" w:line="240" w:lineRule="auto"/>
      <w:ind w:left="-1134"/>
    </w:pPr>
  </w:style>
  <w:style w:type="paragraph" w:styleId="TOC2">
    <w:name w:val="toc 2"/>
    <w:basedOn w:val="Normal"/>
    <w:next w:val="Normal"/>
    <w:autoRedefine/>
    <w:uiPriority w:val="39"/>
    <w:unhideWhenUsed/>
    <w:rsid w:val="008E0B52"/>
    <w:pPr>
      <w:tabs>
        <w:tab w:val="right" w:leader="dot" w:pos="9640"/>
      </w:tabs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1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3D"/>
  </w:style>
  <w:style w:type="paragraph" w:styleId="Footer">
    <w:name w:val="footer"/>
    <w:basedOn w:val="Normal"/>
    <w:link w:val="FooterChar"/>
    <w:uiPriority w:val="99"/>
    <w:unhideWhenUsed/>
    <w:rsid w:val="00DD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E3D"/>
  </w:style>
  <w:style w:type="table" w:styleId="TableGrid">
    <w:name w:val="Table Grid"/>
    <w:basedOn w:val="TableNormal"/>
    <w:uiPriority w:val="39"/>
    <w:rsid w:val="00984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5C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3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39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F0F1F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17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17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17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139B6-4D05-4126-9652-B1276E060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3777</Words>
  <Characters>2154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Vikmane</dc:creator>
  <cp:keywords/>
  <dc:description/>
  <cp:lastModifiedBy>Jekaterina Suslova</cp:lastModifiedBy>
  <cp:revision>9</cp:revision>
  <cp:lastPrinted>2020-02-05T10:36:00Z</cp:lastPrinted>
  <dcterms:created xsi:type="dcterms:W3CDTF">2020-03-17T08:02:00Z</dcterms:created>
  <dcterms:modified xsi:type="dcterms:W3CDTF">2020-03-20T09:03:00Z</dcterms:modified>
</cp:coreProperties>
</file>