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r w:rsidR="00091997" w:rsidRPr="00091997">
        <w:rPr>
          <w:b/>
          <w:color w:val="000000"/>
          <w:sz w:val="22"/>
          <w:szCs w:val="22"/>
          <w:lang w:val="en-US"/>
        </w:rPr>
        <w:t>A5 &amp; M3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247C79" w:rsidRPr="00265BCD">
        <w:rPr>
          <w:rFonts w:eastAsia="Times New Roman"/>
          <w:spacing w:val="-4"/>
          <w:sz w:val="22"/>
          <w:szCs w:val="22"/>
          <w:lang w:val="en-US"/>
        </w:rPr>
        <w:t>4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091997">
        <w:rPr>
          <w:rFonts w:eastAsia="Times New Roman"/>
          <w:sz w:val="22"/>
          <w:szCs w:val="22"/>
          <w:lang w:val="lv-LV"/>
        </w:rPr>
        <w:t>__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79411D">
        <w:rPr>
          <w:rFonts w:eastAsia="Times New Roman"/>
          <w:spacing w:val="-4"/>
          <w:sz w:val="22"/>
          <w:szCs w:val="22"/>
          <w:lang w:val="lv-LV"/>
        </w:rPr>
        <w:t>SIA “</w:t>
      </w:r>
      <w:r w:rsidR="00091997" w:rsidRPr="00091997">
        <w:rPr>
          <w:color w:val="000000"/>
          <w:sz w:val="22"/>
          <w:szCs w:val="22"/>
          <w:lang w:val="lv-LV"/>
        </w:rPr>
        <w:t>A5 &amp; M3</w:t>
      </w:r>
      <w:r w:rsidR="0079411D">
        <w:rPr>
          <w:rFonts w:eastAsia="Times New Roman"/>
          <w:spacing w:val="-4"/>
          <w:sz w:val="22"/>
          <w:szCs w:val="22"/>
          <w:lang w:val="lv-LV"/>
        </w:rPr>
        <w:t>”</w:t>
      </w:r>
      <w:r w:rsidR="00B640BA" w:rsidRPr="00381F43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piederošā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mā īpašuma </w:t>
      </w:r>
      <w:r w:rsidR="00091997">
        <w:rPr>
          <w:b/>
          <w:sz w:val="22"/>
          <w:szCs w:val="22"/>
          <w:lang w:val="lv-LV"/>
        </w:rPr>
        <w:t xml:space="preserve">Alūksnes iela 5 - </w:t>
      </w:r>
      <w:r w:rsidR="00265BCD" w:rsidRPr="00265BCD">
        <w:rPr>
          <w:b/>
          <w:sz w:val="22"/>
          <w:szCs w:val="22"/>
          <w:lang w:val="lv-LV"/>
        </w:rPr>
        <w:t>17</w:t>
      </w:r>
      <w:r w:rsidR="00F50174" w:rsidRPr="00F50174">
        <w:rPr>
          <w:b/>
          <w:sz w:val="22"/>
          <w:szCs w:val="22"/>
          <w:lang w:val="lv-LV"/>
        </w:rPr>
        <w:t xml:space="preserve">, </w:t>
      </w:r>
      <w:r w:rsidR="00091997">
        <w:rPr>
          <w:b/>
          <w:sz w:val="22"/>
          <w:szCs w:val="22"/>
          <w:lang w:val="lv-LV"/>
        </w:rPr>
        <w:t xml:space="preserve">Rīga, </w:t>
      </w:r>
      <w:r w:rsidR="00F50174" w:rsidRPr="00F50174">
        <w:rPr>
          <w:b/>
          <w:sz w:val="22"/>
          <w:szCs w:val="22"/>
          <w:lang w:val="lv-LV"/>
        </w:rPr>
        <w:t xml:space="preserve">kadastra Nr. </w:t>
      </w:r>
      <w:r w:rsidR="00265BCD" w:rsidRPr="00265BCD">
        <w:rPr>
          <w:b/>
          <w:sz w:val="22"/>
          <w:szCs w:val="22"/>
          <w:lang w:val="lv-LV"/>
        </w:rPr>
        <w:t>0100 923 117</w:t>
      </w:r>
      <w:r w:rsidR="00265BCD">
        <w:rPr>
          <w:b/>
          <w:sz w:val="22"/>
          <w:szCs w:val="22"/>
        </w:rPr>
        <w:t>7</w:t>
      </w:r>
      <w:bookmarkStart w:id="0" w:name="_GoBack"/>
      <w:bookmarkEnd w:id="0"/>
      <w:r w:rsidR="0079411D">
        <w:rPr>
          <w:sz w:val="22"/>
          <w:szCs w:val="22"/>
          <w:lang w:val="lv-LV"/>
        </w:rPr>
        <w:t xml:space="preserve">,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265BCD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265BCD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265BCD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265BCD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lastRenderedPageBreak/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91997"/>
    <w:rsid w:val="000B28B9"/>
    <w:rsid w:val="000C2B87"/>
    <w:rsid w:val="000D7721"/>
    <w:rsid w:val="00136646"/>
    <w:rsid w:val="001621BE"/>
    <w:rsid w:val="00171659"/>
    <w:rsid w:val="00195F1E"/>
    <w:rsid w:val="001E28C4"/>
    <w:rsid w:val="00203623"/>
    <w:rsid w:val="00247C79"/>
    <w:rsid w:val="00265BCD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44139"/>
    <w:rsid w:val="004736B8"/>
    <w:rsid w:val="00474202"/>
    <w:rsid w:val="004C1DAD"/>
    <w:rsid w:val="004C7553"/>
    <w:rsid w:val="00510F90"/>
    <w:rsid w:val="005474AA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50174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BF1D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017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9199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CE1B-83F5-415C-BF94-237E09C3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17</cp:revision>
  <cp:lastPrinted>2021-02-01T16:33:00Z</cp:lastPrinted>
  <dcterms:created xsi:type="dcterms:W3CDTF">2021-02-01T16:22:00Z</dcterms:created>
  <dcterms:modified xsi:type="dcterms:W3CDTF">2024-11-21T08:35:00Z</dcterms:modified>
</cp:coreProperties>
</file>